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225"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7"/>
        <w:gridCol w:w="237"/>
        <w:gridCol w:w="3461"/>
        <w:gridCol w:w="282"/>
        <w:gridCol w:w="2154"/>
      </w:tblGrid>
      <w:tr w:rsidR="00F02704" w14:paraId="55036CD3" w14:textId="77777777" w:rsidTr="00A778AD">
        <w:trPr>
          <w:trHeight w:val="283"/>
        </w:trPr>
        <w:tc>
          <w:tcPr>
            <w:tcW w:w="1865" w:type="pct"/>
            <w:tcBorders>
              <w:bottom w:val="single" w:sz="4" w:space="0" w:color="BFBFBF" w:themeColor="background1" w:themeShade="BF"/>
            </w:tcBorders>
            <w:tcMar>
              <w:left w:w="29" w:type="dxa"/>
              <w:right w:w="115" w:type="dxa"/>
            </w:tcMar>
            <w:vAlign w:val="bottom"/>
          </w:tcPr>
          <w:p w14:paraId="1F065566" w14:textId="6FD9280E" w:rsidR="00F02704" w:rsidRPr="00B03AC3" w:rsidRDefault="00F02704" w:rsidP="00864672">
            <w:pPr>
              <w:pStyle w:val="Heading2"/>
              <w:spacing w:before="0" w:after="0"/>
              <w:outlineLvl w:val="1"/>
            </w:pPr>
            <w:bookmarkStart w:id="0" w:name="_GoBack"/>
            <w:bookmarkEnd w:id="0"/>
            <w:r>
              <w:t>ASIC Representative number</w:t>
            </w:r>
          </w:p>
        </w:tc>
        <w:tc>
          <w:tcPr>
            <w:tcW w:w="121" w:type="pct"/>
            <w:tcMar>
              <w:left w:w="29" w:type="dxa"/>
            </w:tcMar>
            <w:vAlign w:val="bottom"/>
          </w:tcPr>
          <w:p w14:paraId="5106DC55" w14:textId="77777777" w:rsidR="00F02704" w:rsidRPr="00B03AC3" w:rsidRDefault="00F02704" w:rsidP="00864672">
            <w:pPr>
              <w:spacing w:after="0"/>
            </w:pPr>
          </w:p>
        </w:tc>
        <w:tc>
          <w:tcPr>
            <w:tcW w:w="1769" w:type="pct"/>
            <w:tcMar>
              <w:left w:w="29" w:type="dxa"/>
            </w:tcMar>
            <w:vAlign w:val="bottom"/>
          </w:tcPr>
          <w:p w14:paraId="0F3F7E27" w14:textId="77777777" w:rsidR="00F02704" w:rsidRPr="00B03AC3" w:rsidRDefault="00F02704" w:rsidP="00864672">
            <w:pPr>
              <w:spacing w:after="0"/>
            </w:pPr>
          </w:p>
        </w:tc>
        <w:tc>
          <w:tcPr>
            <w:tcW w:w="144" w:type="pct"/>
            <w:tcMar>
              <w:left w:w="29" w:type="dxa"/>
            </w:tcMar>
            <w:vAlign w:val="bottom"/>
          </w:tcPr>
          <w:p w14:paraId="11D74668" w14:textId="77777777" w:rsidR="00F02704" w:rsidRPr="00B03AC3" w:rsidRDefault="00F02704" w:rsidP="00864672">
            <w:pPr>
              <w:spacing w:after="0"/>
            </w:pPr>
          </w:p>
        </w:tc>
        <w:tc>
          <w:tcPr>
            <w:tcW w:w="1102" w:type="pct"/>
            <w:tcMar>
              <w:left w:w="29" w:type="dxa"/>
            </w:tcMar>
            <w:vAlign w:val="bottom"/>
          </w:tcPr>
          <w:p w14:paraId="0AB4CC04" w14:textId="77777777" w:rsidR="00F02704" w:rsidRPr="00B03AC3" w:rsidRDefault="00F02704" w:rsidP="00864672">
            <w:pPr>
              <w:spacing w:after="0"/>
            </w:pPr>
          </w:p>
        </w:tc>
      </w:tr>
      <w:tr w:rsidR="00F02704" w14:paraId="3D974B78" w14:textId="77777777" w:rsidTr="00A778AD">
        <w:trPr>
          <w:trHeight w:val="283"/>
        </w:trPr>
        <w:tc>
          <w:tcPr>
            <w:tcW w:w="18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29" w:type="dxa"/>
              <w:right w:w="115" w:type="dxa"/>
            </w:tcMar>
            <w:vAlign w:val="bottom"/>
          </w:tcPr>
          <w:p w14:paraId="132E9371" w14:textId="2D62A862" w:rsidR="00F02704" w:rsidRPr="00B03AC3" w:rsidRDefault="006E3585" w:rsidP="00864672">
            <w:pPr>
              <w:spacing w:after="0"/>
            </w:pPr>
            <w:r>
              <w:t>421171</w:t>
            </w:r>
          </w:p>
        </w:tc>
        <w:tc>
          <w:tcPr>
            <w:tcW w:w="121" w:type="pct"/>
            <w:tcBorders>
              <w:left w:val="single" w:sz="4" w:space="0" w:color="BFBFBF" w:themeColor="background1" w:themeShade="BF"/>
            </w:tcBorders>
            <w:tcMar>
              <w:left w:w="29" w:type="dxa"/>
            </w:tcMar>
            <w:vAlign w:val="bottom"/>
          </w:tcPr>
          <w:p w14:paraId="7CDB10CB" w14:textId="77777777" w:rsidR="00F02704" w:rsidRPr="00B03AC3" w:rsidRDefault="00F02704" w:rsidP="00864672">
            <w:pPr>
              <w:spacing w:after="0"/>
            </w:pPr>
          </w:p>
        </w:tc>
        <w:tc>
          <w:tcPr>
            <w:tcW w:w="1769" w:type="pct"/>
            <w:tcMar>
              <w:left w:w="29" w:type="dxa"/>
            </w:tcMar>
            <w:vAlign w:val="bottom"/>
          </w:tcPr>
          <w:p w14:paraId="7B20252B" w14:textId="77777777" w:rsidR="00F02704" w:rsidRPr="00B03AC3" w:rsidRDefault="00F02704" w:rsidP="00864672">
            <w:pPr>
              <w:spacing w:after="0"/>
            </w:pPr>
          </w:p>
        </w:tc>
        <w:tc>
          <w:tcPr>
            <w:tcW w:w="144" w:type="pct"/>
            <w:tcMar>
              <w:left w:w="29" w:type="dxa"/>
            </w:tcMar>
            <w:vAlign w:val="bottom"/>
          </w:tcPr>
          <w:p w14:paraId="1B3ED257" w14:textId="77777777" w:rsidR="00F02704" w:rsidRPr="00B03AC3" w:rsidRDefault="00F02704" w:rsidP="00864672">
            <w:pPr>
              <w:spacing w:after="0"/>
            </w:pPr>
          </w:p>
        </w:tc>
        <w:tc>
          <w:tcPr>
            <w:tcW w:w="1102" w:type="pct"/>
            <w:tcMar>
              <w:left w:w="29" w:type="dxa"/>
            </w:tcMar>
            <w:vAlign w:val="bottom"/>
          </w:tcPr>
          <w:p w14:paraId="541826DA" w14:textId="77777777" w:rsidR="00F02704" w:rsidRPr="00B03AC3" w:rsidRDefault="00F02704" w:rsidP="00864672">
            <w:pPr>
              <w:spacing w:after="0"/>
            </w:pPr>
          </w:p>
        </w:tc>
      </w:tr>
      <w:tr w:rsidR="00042FD6" w14:paraId="468D5549" w14:textId="77777777" w:rsidTr="00A778AD">
        <w:trPr>
          <w:trHeight w:val="283"/>
        </w:trPr>
        <w:tc>
          <w:tcPr>
            <w:tcW w:w="1865" w:type="pct"/>
            <w:tcBorders>
              <w:top w:val="single" w:sz="4" w:space="0" w:color="BFBFBF" w:themeColor="background1" w:themeShade="BF"/>
              <w:bottom w:val="single" w:sz="4" w:space="0" w:color="BFBFBF" w:themeColor="background1" w:themeShade="BF"/>
            </w:tcBorders>
            <w:tcMar>
              <w:left w:w="29" w:type="dxa"/>
              <w:right w:w="115" w:type="dxa"/>
            </w:tcMar>
            <w:vAlign w:val="bottom"/>
          </w:tcPr>
          <w:p w14:paraId="06EF32A9" w14:textId="44B1CD30" w:rsidR="00585813" w:rsidRPr="00B03AC3" w:rsidRDefault="00585813" w:rsidP="00864672">
            <w:pPr>
              <w:pStyle w:val="Heading2"/>
              <w:spacing w:before="0" w:after="0"/>
              <w:outlineLvl w:val="1"/>
            </w:pPr>
            <w:r w:rsidRPr="00B03AC3">
              <w:t>Adviser name</w:t>
            </w:r>
          </w:p>
        </w:tc>
        <w:tc>
          <w:tcPr>
            <w:tcW w:w="121" w:type="pct"/>
            <w:tcMar>
              <w:left w:w="29" w:type="dxa"/>
            </w:tcMar>
            <w:vAlign w:val="bottom"/>
          </w:tcPr>
          <w:p w14:paraId="21773F69" w14:textId="77777777" w:rsidR="00585813" w:rsidRPr="00B03AC3" w:rsidRDefault="00585813" w:rsidP="00864672">
            <w:pPr>
              <w:pStyle w:val="Heading2"/>
              <w:spacing w:before="0" w:after="0"/>
              <w:outlineLvl w:val="1"/>
            </w:pPr>
          </w:p>
        </w:tc>
        <w:tc>
          <w:tcPr>
            <w:tcW w:w="1769" w:type="pct"/>
            <w:tcBorders>
              <w:bottom w:val="single" w:sz="4" w:space="0" w:color="BFBFBF" w:themeColor="background1" w:themeShade="BF"/>
            </w:tcBorders>
            <w:tcMar>
              <w:left w:w="29" w:type="dxa"/>
            </w:tcMar>
            <w:vAlign w:val="bottom"/>
          </w:tcPr>
          <w:p w14:paraId="76C85397" w14:textId="66E3E47F" w:rsidR="00585813" w:rsidRPr="00B03AC3" w:rsidRDefault="00585813" w:rsidP="00864672">
            <w:pPr>
              <w:pStyle w:val="Heading2"/>
              <w:spacing w:before="0" w:after="0"/>
              <w:outlineLvl w:val="1"/>
            </w:pPr>
            <w:r w:rsidRPr="00B03AC3">
              <w:t>Adviser signature</w:t>
            </w:r>
          </w:p>
        </w:tc>
        <w:tc>
          <w:tcPr>
            <w:tcW w:w="144" w:type="pct"/>
            <w:tcMar>
              <w:left w:w="29" w:type="dxa"/>
            </w:tcMar>
            <w:vAlign w:val="bottom"/>
          </w:tcPr>
          <w:p w14:paraId="7E3BCDC0" w14:textId="77777777" w:rsidR="00585813" w:rsidRPr="00B03AC3" w:rsidRDefault="00585813" w:rsidP="00864672">
            <w:pPr>
              <w:pStyle w:val="Heading2"/>
              <w:spacing w:before="0" w:after="0"/>
              <w:outlineLvl w:val="1"/>
            </w:pPr>
          </w:p>
        </w:tc>
        <w:tc>
          <w:tcPr>
            <w:tcW w:w="1102" w:type="pct"/>
            <w:tcBorders>
              <w:bottom w:val="single" w:sz="4" w:space="0" w:color="BFBFBF" w:themeColor="background1" w:themeShade="BF"/>
            </w:tcBorders>
            <w:tcMar>
              <w:left w:w="29" w:type="dxa"/>
            </w:tcMar>
            <w:vAlign w:val="bottom"/>
          </w:tcPr>
          <w:p w14:paraId="5BD99DF3" w14:textId="58E67ADF" w:rsidR="00585813" w:rsidRPr="00B03AC3" w:rsidRDefault="00585813" w:rsidP="00864672">
            <w:pPr>
              <w:pStyle w:val="Heading2"/>
              <w:spacing w:before="0" w:after="0"/>
              <w:outlineLvl w:val="1"/>
            </w:pPr>
            <w:r w:rsidRPr="00B03AC3">
              <w:t>Date signed</w:t>
            </w:r>
          </w:p>
        </w:tc>
      </w:tr>
      <w:tr w:rsidR="00042FD6" w14:paraId="43230DBF" w14:textId="77777777" w:rsidTr="00A778AD">
        <w:trPr>
          <w:trHeight w:val="283"/>
        </w:trPr>
        <w:tc>
          <w:tcPr>
            <w:tcW w:w="18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29" w:type="dxa"/>
              <w:right w:w="115" w:type="dxa"/>
            </w:tcMar>
            <w:vAlign w:val="bottom"/>
          </w:tcPr>
          <w:p w14:paraId="2D491F41" w14:textId="7B7FCACC" w:rsidR="00585813" w:rsidRPr="00B03AC3" w:rsidRDefault="006E3585" w:rsidP="00864672">
            <w:pPr>
              <w:spacing w:after="0"/>
            </w:pPr>
            <w:r>
              <w:t xml:space="preserve">Gee Fernando </w:t>
            </w:r>
          </w:p>
        </w:tc>
        <w:tc>
          <w:tcPr>
            <w:tcW w:w="121" w:type="pct"/>
            <w:tcBorders>
              <w:left w:val="single" w:sz="4" w:space="0" w:color="BFBFBF" w:themeColor="background1" w:themeShade="BF"/>
              <w:right w:val="single" w:sz="4" w:space="0" w:color="BFBFBF" w:themeColor="background1" w:themeShade="BF"/>
            </w:tcBorders>
            <w:tcMar>
              <w:left w:w="29" w:type="dxa"/>
            </w:tcMar>
            <w:vAlign w:val="bottom"/>
          </w:tcPr>
          <w:p w14:paraId="6940BF8D" w14:textId="77777777" w:rsidR="00585813" w:rsidRPr="00B03AC3" w:rsidRDefault="00585813" w:rsidP="00864672">
            <w:pPr>
              <w:spacing w:after="0"/>
            </w:pPr>
          </w:p>
        </w:tc>
        <w:tc>
          <w:tcPr>
            <w:tcW w:w="176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29" w:type="dxa"/>
            </w:tcMar>
            <w:vAlign w:val="bottom"/>
          </w:tcPr>
          <w:p w14:paraId="7401743D" w14:textId="77777777" w:rsidR="00585813" w:rsidRPr="00B03AC3" w:rsidRDefault="00585813" w:rsidP="00864672">
            <w:pPr>
              <w:spacing w:after="0"/>
            </w:pPr>
          </w:p>
        </w:tc>
        <w:tc>
          <w:tcPr>
            <w:tcW w:w="144" w:type="pct"/>
            <w:tcBorders>
              <w:left w:val="single" w:sz="4" w:space="0" w:color="BFBFBF" w:themeColor="background1" w:themeShade="BF"/>
              <w:right w:val="single" w:sz="4" w:space="0" w:color="BFBFBF" w:themeColor="background1" w:themeShade="BF"/>
            </w:tcBorders>
            <w:tcMar>
              <w:left w:w="29" w:type="dxa"/>
            </w:tcMar>
            <w:vAlign w:val="bottom"/>
          </w:tcPr>
          <w:p w14:paraId="76D53733" w14:textId="77777777" w:rsidR="00585813" w:rsidRPr="00B03AC3" w:rsidRDefault="00585813" w:rsidP="00864672">
            <w:pPr>
              <w:spacing w:after="0"/>
            </w:pPr>
          </w:p>
        </w:tc>
        <w:tc>
          <w:tcPr>
            <w:tcW w:w="11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29" w:type="dxa"/>
            </w:tcMar>
            <w:vAlign w:val="bottom"/>
          </w:tcPr>
          <w:p w14:paraId="6CB3A738" w14:textId="20C29BB8" w:rsidR="00585813" w:rsidRPr="00A17BCA" w:rsidRDefault="00A17BCA" w:rsidP="00864672">
            <w:pPr>
              <w:spacing w:after="0"/>
              <w:rPr>
                <w:b/>
                <w:bCs/>
              </w:rPr>
            </w:pPr>
            <w:r w:rsidRPr="00A17BCA">
              <w:rPr>
                <w:b/>
                <w:bCs/>
                <w:color w:val="DFDFDF" w:themeColor="background2" w:themeShade="E6"/>
              </w:rPr>
              <w:t>dd/mm/yyyy</w:t>
            </w:r>
          </w:p>
        </w:tc>
      </w:tr>
    </w:tbl>
    <w:p w14:paraId="0FAE6CED" w14:textId="6F47B3B3" w:rsidR="004E10DE" w:rsidRPr="00DB7A36" w:rsidRDefault="004E10DE" w:rsidP="00DB7A36">
      <w:pPr>
        <w:pStyle w:val="Heading2"/>
        <w:rPr>
          <w:b/>
        </w:rPr>
        <w:sectPr w:rsidR="004E10DE" w:rsidRPr="00DB7A36" w:rsidSect="000C2911">
          <w:headerReference w:type="default" r:id="rId8"/>
          <w:footerReference w:type="default" r:id="rId9"/>
          <w:pgSz w:w="12240" w:h="15840"/>
          <w:pgMar w:top="1701" w:right="1440" w:bottom="794" w:left="1440" w:header="567" w:footer="113" w:gutter="0"/>
          <w:cols w:space="720"/>
          <w:docGrid w:linePitch="360"/>
        </w:sectPr>
      </w:pPr>
    </w:p>
    <w:p w14:paraId="2D533FFC" w14:textId="30B98533" w:rsidR="00743EAD" w:rsidRPr="00743EAD" w:rsidRDefault="00743EAD" w:rsidP="000C2911">
      <w:pPr>
        <w:spacing w:after="60"/>
      </w:pPr>
      <w:r w:rsidRPr="00DB7A36">
        <w:rPr>
          <w:b/>
          <w:bCs/>
        </w:rPr>
        <w:t>This Financial Services Guide (FSG)</w:t>
      </w:r>
      <w:r w:rsidRPr="00743EAD">
        <w:t xml:space="preserve"> </w:t>
      </w:r>
      <w:r w:rsidRPr="00DB7A36">
        <w:t xml:space="preserve">is dated </w:t>
      </w:r>
      <w:r w:rsidR="009937BD">
        <w:t>17</w:t>
      </w:r>
      <w:r w:rsidR="009937BD" w:rsidRPr="009937BD">
        <w:rPr>
          <w:vertAlign w:val="superscript"/>
        </w:rPr>
        <w:t>th</w:t>
      </w:r>
      <w:r w:rsidR="009937BD">
        <w:t xml:space="preserve"> </w:t>
      </w:r>
      <w:r w:rsidR="00064A67">
        <w:t>April</w:t>
      </w:r>
      <w:r w:rsidR="000C4516">
        <w:t xml:space="preserve"> 2023</w:t>
      </w:r>
      <w:r w:rsidRPr="00DB7A36">
        <w:t xml:space="preserve">. It provides you with information about the financial services provided to you by </w:t>
      </w:r>
      <w:r w:rsidR="00A20BD6">
        <w:t>Consilium Advice</w:t>
      </w:r>
      <w:r w:rsidRPr="00DB7A36">
        <w:t xml:space="preserve"> Pty Ltd, and its representatives</w:t>
      </w:r>
      <w:r w:rsidRPr="00743EAD">
        <w:t>.</w:t>
      </w:r>
    </w:p>
    <w:p w14:paraId="6DCA6C9A" w14:textId="6D66BCD9" w:rsidR="00743EAD" w:rsidRPr="00743EAD" w:rsidRDefault="00743EAD" w:rsidP="00864672">
      <w:pPr>
        <w:spacing w:after="60"/>
      </w:pPr>
      <w:r w:rsidRPr="00743EAD">
        <w:t>You should also refer to the Product Disclosure Statement (PDS) for the insurance product. The purpose of the PDS is to help you understand financial products and make your own informed decision about whether to acquire the Insurance Product. The PDS includes information such as the risks, benefits and characteristics of the particular Insurance Product.</w:t>
      </w:r>
    </w:p>
    <w:p w14:paraId="09B549C8" w14:textId="6BECEDA5" w:rsidR="00743EAD" w:rsidRPr="00941FF0" w:rsidRDefault="00A20BD6" w:rsidP="00A20BD6">
      <w:pPr>
        <w:pStyle w:val="Heading2"/>
        <w:spacing w:before="60" w:after="0"/>
      </w:pPr>
      <w:r>
        <w:t>Consilium Advice</w:t>
      </w:r>
      <w:r w:rsidR="000C4516">
        <w:t xml:space="preserve"> Australia</w:t>
      </w:r>
      <w:r w:rsidR="00743EAD" w:rsidRPr="00941FF0">
        <w:t xml:space="preserve"> </w:t>
      </w:r>
      <w:r w:rsidR="00743EAD" w:rsidRPr="00F92456">
        <w:t>Pty</w:t>
      </w:r>
      <w:r w:rsidR="00743EAD" w:rsidRPr="00941FF0">
        <w:t xml:space="preserve"> Ltd</w:t>
      </w:r>
    </w:p>
    <w:p w14:paraId="0ADC3E9F" w14:textId="6053E15F" w:rsidR="00743EAD" w:rsidRPr="00743EAD" w:rsidRDefault="00A20BD6" w:rsidP="00864672">
      <w:pPr>
        <w:spacing w:after="60"/>
      </w:pPr>
      <w:r>
        <w:t>Consilium Advice</w:t>
      </w:r>
      <w:r w:rsidR="000C4516">
        <w:t xml:space="preserve"> Australia</w:t>
      </w:r>
      <w:r w:rsidR="00743EAD" w:rsidRPr="00743EAD">
        <w:t xml:space="preserve"> Pty Ltd</w:t>
      </w:r>
      <w:r w:rsidR="000C4516">
        <w:t xml:space="preserve"> (CAA)</w:t>
      </w:r>
      <w:r w:rsidR="00743EAD" w:rsidRPr="00743EAD">
        <w:t xml:space="preserve"> holds an Australian Financial Services License </w:t>
      </w:r>
      <w:r w:rsidR="000C4516">
        <w:t>246623</w:t>
      </w:r>
      <w:r w:rsidR="00743EAD" w:rsidRPr="00743EAD">
        <w:t xml:space="preserve"> and is authori</w:t>
      </w:r>
      <w:r w:rsidR="000C4516">
        <w:t>s</w:t>
      </w:r>
      <w:r w:rsidR="00743EAD" w:rsidRPr="00743EAD">
        <w:t xml:space="preserve">ed to deal in life risk insurance products. </w:t>
      </w:r>
      <w:r w:rsidR="000C4516">
        <w:t>CAA</w:t>
      </w:r>
      <w:r w:rsidR="00195F18">
        <w:t xml:space="preserve"> Pty Ltd</w:t>
      </w:r>
      <w:r w:rsidR="00743EAD" w:rsidRPr="00743EAD">
        <w:t xml:space="preserve"> may be contacted by phone </w:t>
      </w:r>
      <w:r w:rsidR="00743EAD" w:rsidRPr="000C4516">
        <w:t>0</w:t>
      </w:r>
      <w:r w:rsidR="00F62B1E" w:rsidRPr="000C4516">
        <w:t>2</w:t>
      </w:r>
      <w:r w:rsidR="00743EAD" w:rsidRPr="000C4516">
        <w:t xml:space="preserve"> </w:t>
      </w:r>
      <w:r w:rsidR="00F62B1E" w:rsidRPr="000C4516">
        <w:t xml:space="preserve">8003 </w:t>
      </w:r>
      <w:r w:rsidR="000C4516" w:rsidRPr="000C4516">
        <w:t>6899</w:t>
      </w:r>
      <w:r w:rsidR="00743EAD" w:rsidRPr="000C4516">
        <w:t xml:space="preserve"> or in writing to </w:t>
      </w:r>
      <w:r w:rsidR="00F62B1E" w:rsidRPr="000C4516">
        <w:t xml:space="preserve">Suite </w:t>
      </w:r>
      <w:r w:rsidR="000C4516" w:rsidRPr="000C4516">
        <w:t>807, 229-231 Macquarie</w:t>
      </w:r>
      <w:r w:rsidR="00F62B1E" w:rsidRPr="000C4516">
        <w:t xml:space="preserve"> Street</w:t>
      </w:r>
      <w:r w:rsidR="000C4516" w:rsidRPr="000C4516">
        <w:t>,</w:t>
      </w:r>
      <w:r w:rsidR="00F62B1E" w:rsidRPr="000C4516">
        <w:t xml:space="preserve"> SYDNEY</w:t>
      </w:r>
      <w:r w:rsidR="000C4516" w:rsidRPr="000C4516">
        <w:t>,</w:t>
      </w:r>
      <w:r w:rsidR="00042FD6" w:rsidRPr="000C4516">
        <w:t xml:space="preserve"> </w:t>
      </w:r>
      <w:r w:rsidR="00F62B1E" w:rsidRPr="000C4516">
        <w:t>NSW</w:t>
      </w:r>
      <w:r w:rsidR="000C4516" w:rsidRPr="000C4516">
        <w:t>,</w:t>
      </w:r>
      <w:r w:rsidR="00195F18" w:rsidRPr="000C4516">
        <w:t xml:space="preserve"> </w:t>
      </w:r>
      <w:r w:rsidR="00F62B1E" w:rsidRPr="000C4516">
        <w:t>2000</w:t>
      </w:r>
    </w:p>
    <w:p w14:paraId="3E5B1FBF" w14:textId="23E3D8CA" w:rsidR="00743EAD" w:rsidRPr="00941FF0" w:rsidRDefault="00743EAD" w:rsidP="00A20BD6">
      <w:pPr>
        <w:pStyle w:val="Heading2"/>
        <w:spacing w:before="60" w:after="0"/>
      </w:pPr>
      <w:r w:rsidRPr="00941FF0">
        <w:t xml:space="preserve">Financial </w:t>
      </w:r>
      <w:r w:rsidRPr="00F92456">
        <w:t>Services</w:t>
      </w:r>
      <w:r w:rsidRPr="00941FF0">
        <w:t xml:space="preserve"> Provided</w:t>
      </w:r>
    </w:p>
    <w:p w14:paraId="1D8B1AE8" w14:textId="1929167C" w:rsidR="00195F18" w:rsidRDefault="00743EAD" w:rsidP="00AF26D8">
      <w:pPr>
        <w:pStyle w:val="ListBullet"/>
        <w:numPr>
          <w:ilvl w:val="0"/>
          <w:numId w:val="0"/>
        </w:numPr>
        <w:spacing w:after="60"/>
      </w:pPr>
      <w:r w:rsidRPr="00743EAD">
        <w:t xml:space="preserve">Advisers </w:t>
      </w:r>
      <w:r w:rsidR="00645D3E">
        <w:t xml:space="preserve">and </w:t>
      </w:r>
      <w:r w:rsidRPr="00743EAD">
        <w:t>representatives</w:t>
      </w:r>
      <w:r w:rsidR="00645D3E">
        <w:t xml:space="preserve"> of </w:t>
      </w:r>
      <w:r w:rsidR="000C4516">
        <w:t>CAA</w:t>
      </w:r>
      <w:r w:rsidR="00F62B1E">
        <w:t xml:space="preserve"> Pty Ltd</w:t>
      </w:r>
      <w:r w:rsidRPr="00743EAD">
        <w:t xml:space="preserve"> may discuss with you the offer of insurance described in the accompanying PDS. These representatives are only authori</w:t>
      </w:r>
      <w:r w:rsidR="000C4516">
        <w:t>s</w:t>
      </w:r>
      <w:r w:rsidRPr="00743EAD">
        <w:t>ed to provide you with general advice about the insurance product. They are not able to provide you with personal advice, which means they will not consider your personal financial circumstances, needs and objectives.</w:t>
      </w:r>
    </w:p>
    <w:p w14:paraId="48DDAEE3" w14:textId="3493C72B" w:rsidR="00743EAD" w:rsidRPr="00743EAD" w:rsidRDefault="00743EAD" w:rsidP="00943043">
      <w:pPr>
        <w:pStyle w:val="Heading2"/>
        <w:spacing w:before="60" w:after="0"/>
        <w:jc w:val="left"/>
      </w:pPr>
      <w:r w:rsidRPr="00743EAD">
        <w:t xml:space="preserve">How do I pay for the </w:t>
      </w:r>
      <w:r w:rsidRPr="00F92456">
        <w:t>financial</w:t>
      </w:r>
      <w:r w:rsidRPr="00743EAD">
        <w:t xml:space="preserve"> services provided?</w:t>
      </w:r>
    </w:p>
    <w:p w14:paraId="07FA659F" w14:textId="5AC5BB7A" w:rsidR="00645D3E" w:rsidRPr="00743EAD" w:rsidRDefault="00743EAD" w:rsidP="00AF26D8">
      <w:pPr>
        <w:spacing w:after="0"/>
      </w:pPr>
      <w:r w:rsidRPr="00743EAD">
        <w:t xml:space="preserve">There is ordinarily no charge to you for the general advice provided. When you purchase the Insurance Product the insurance company may pay the licensee 0% to </w:t>
      </w:r>
      <w:r w:rsidR="005F00AB">
        <w:t>6</w:t>
      </w:r>
      <w:r w:rsidRPr="00743EAD">
        <w:t xml:space="preserve">0% (ex GST) of the first year’s premium </w:t>
      </w:r>
      <w:r w:rsidR="00963474">
        <w:t xml:space="preserve">and then ongoing trailing commission of up to 0.20% (ex GST) from the day following the first anniversary date </w:t>
      </w:r>
      <w:r w:rsidRPr="00743EAD">
        <w:t xml:space="preserve">(ex policy fee and stamp duty) </w:t>
      </w:r>
      <w:r w:rsidR="00963474">
        <w:t>A</w:t>
      </w:r>
      <w:r w:rsidRPr="00743EAD">
        <w:t xml:space="preserve"> percentage of </w:t>
      </w:r>
      <w:r w:rsidR="00963474">
        <w:t>both the initial up-front commission and ongoing trail</w:t>
      </w:r>
      <w:r w:rsidRPr="00743EAD">
        <w:t xml:space="preserve"> </w:t>
      </w:r>
      <w:r w:rsidR="00963474">
        <w:t xml:space="preserve">commission </w:t>
      </w:r>
      <w:r w:rsidRPr="00743EAD">
        <w:t>is paid to the Authorised Representative as commission.</w:t>
      </w:r>
    </w:p>
    <w:p w14:paraId="243487E0" w14:textId="44654062" w:rsidR="00743EAD" w:rsidRPr="00941FF0" w:rsidRDefault="00743EAD" w:rsidP="004128D3">
      <w:pPr>
        <w:pStyle w:val="Heading2"/>
        <w:spacing w:before="60" w:after="0"/>
      </w:pPr>
      <w:r w:rsidRPr="00941FF0">
        <w:t xml:space="preserve">Professional </w:t>
      </w:r>
      <w:r w:rsidRPr="00F92456">
        <w:t>Indemnity</w:t>
      </w:r>
    </w:p>
    <w:p w14:paraId="0E4D74B8" w14:textId="15438432" w:rsidR="00743EAD" w:rsidRPr="00743EAD" w:rsidRDefault="008B6760" w:rsidP="00A778AD">
      <w:pPr>
        <w:spacing w:after="120"/>
      </w:pPr>
      <w:r>
        <w:t>CAA</w:t>
      </w:r>
      <w:r w:rsidR="00743EAD" w:rsidRPr="00743EAD">
        <w:t xml:space="preserve"> Pty Ltd, its employees and representatives are indemnified under Professional Indemnity Insurance secured by </w:t>
      </w:r>
      <w:r>
        <w:t>CAA</w:t>
      </w:r>
      <w:r w:rsidR="00743EAD" w:rsidRPr="00743EAD">
        <w:t xml:space="preserve"> Pty Ltd. Such insurance covers work done by its representatives and employees whilst they comply with the requirements of </w:t>
      </w:r>
      <w:r>
        <w:t>CAA</w:t>
      </w:r>
      <w:r w:rsidR="00743EAD" w:rsidRPr="00743EAD">
        <w:t xml:space="preserve"> Pty Ltd.</w:t>
      </w:r>
    </w:p>
    <w:p w14:paraId="4C83703D" w14:textId="1967BEC1" w:rsidR="00743EAD" w:rsidRPr="00941FF0" w:rsidRDefault="008B6760" w:rsidP="004128D3">
      <w:pPr>
        <w:pStyle w:val="Heading2"/>
        <w:spacing w:after="0"/>
      </w:pPr>
      <w:r>
        <w:rPr>
          <w:noProof/>
        </w:rPr>
        <mc:AlternateContent>
          <mc:Choice Requires="wps">
            <w:drawing>
              <wp:anchor distT="45720" distB="45720" distL="114300" distR="114300" simplePos="0" relativeHeight="251659264" behindDoc="0" locked="0" layoutInCell="1" allowOverlap="1" wp14:anchorId="2D2156EA" wp14:editId="7C358C64">
                <wp:simplePos x="0" y="0"/>
                <wp:positionH relativeFrom="column">
                  <wp:posOffset>-28575</wp:posOffset>
                </wp:positionH>
                <wp:positionV relativeFrom="paragraph">
                  <wp:posOffset>291465</wp:posOffset>
                </wp:positionV>
                <wp:extent cx="3026410" cy="1485900"/>
                <wp:effectExtent l="0" t="0" r="2159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410" cy="1485900"/>
                        </a:xfrm>
                        <a:prstGeom prst="rect">
                          <a:avLst/>
                        </a:prstGeom>
                        <a:solidFill>
                          <a:srgbClr val="FFFFFF"/>
                        </a:solidFill>
                        <a:ln w="9525">
                          <a:solidFill>
                            <a:srgbClr val="000000"/>
                          </a:solidFill>
                          <a:miter lim="800000"/>
                          <a:headEnd/>
                          <a:tailEnd/>
                        </a:ln>
                      </wps:spPr>
                      <wps:txbx>
                        <w:txbxContent>
                          <w:p w14:paraId="508ECA99" w14:textId="77777777" w:rsidR="00645D3E" w:rsidRPr="00BA6093" w:rsidRDefault="00645D3E" w:rsidP="00943043">
                            <w:pPr>
                              <w:pStyle w:val="Heading2"/>
                              <w:spacing w:before="0" w:after="0"/>
                            </w:pPr>
                            <w:r w:rsidRPr="00BA6093">
                              <w:t>Not independent</w:t>
                            </w:r>
                          </w:p>
                          <w:p w14:paraId="676009D6" w14:textId="46B8A0C3" w:rsidR="00645D3E" w:rsidRPr="00BA6093" w:rsidRDefault="00F62B1E" w:rsidP="00645D3E">
                            <w:pPr>
                              <w:rPr>
                                <w:szCs w:val="20"/>
                              </w:rPr>
                            </w:pPr>
                            <w:r>
                              <w:rPr>
                                <w:szCs w:val="20"/>
                              </w:rPr>
                              <w:t>Consilium Advice</w:t>
                            </w:r>
                            <w:r w:rsidR="008B6760">
                              <w:rPr>
                                <w:szCs w:val="20"/>
                              </w:rPr>
                              <w:t xml:space="preserve"> Australia</w:t>
                            </w:r>
                            <w:r w:rsidR="00645D3E" w:rsidRPr="00BA6093">
                              <w:rPr>
                                <w:szCs w:val="20"/>
                              </w:rPr>
                              <w:t xml:space="preserve"> Pty Ltd and I as your adviser may receive commission based on your premium for the duration of time you hold an insurance policy, fees based on the volume of assets under advice and gifts and other non-monetary benefits. For these reasons, we are unable to refer to ourselves as ‘independent’, ‘impartial’ or ‘unbiased’.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2D2156EA" id="_x0000_t202" coordsize="21600,21600" o:spt="202" path="m,l,21600r21600,l21600,xe">
                <v:stroke joinstyle="miter"/>
                <v:path gradientshapeok="t" o:connecttype="rect"/>
              </v:shapetype>
              <v:shape id="Text Box 2" o:spid="_x0000_s1026" type="#_x0000_t202" style="position:absolute;left:0;text-align:left;margin-left:-2.25pt;margin-top:22.95pt;width:238.3pt;height:11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">
                <v:textbox>
                  <w:txbxContent>
                    <w:p w14:paraId="508ECA99" w14:textId="77777777" w:rsidR="00645D3E" w:rsidRPr="00BA6093" w:rsidRDefault="00645D3E" w:rsidP="00943043">
                      <w:pPr>
                        <w:pStyle w:val="Heading2"/>
                        <w:spacing w:before="0" w:after="0"/>
                      </w:pPr>
                      <w:r w:rsidRPr="00BA6093">
                        <w:t>Not independent</w:t>
                      </w:r>
                    </w:p>
                    <w:p w14:paraId="676009D6" w14:textId="46B8A0C3" w:rsidR="00645D3E" w:rsidRPr="00BA6093" w:rsidRDefault="00F62B1E" w:rsidP="00645D3E">
                      <w:pPr>
                        <w:rPr>
                          <w:szCs w:val="20"/>
                        </w:rPr>
                      </w:pPr>
                      <w:proofErr w:type="spellStart"/>
                      <w:r>
                        <w:rPr>
                          <w:szCs w:val="20"/>
                        </w:rPr>
                        <w:t>Consilium</w:t>
                      </w:r>
                      <w:proofErr w:type="spellEnd"/>
                      <w:r>
                        <w:rPr>
                          <w:szCs w:val="20"/>
                        </w:rPr>
                        <w:t xml:space="preserve"> Advice</w:t>
                      </w:r>
                      <w:r w:rsidR="008B6760">
                        <w:rPr>
                          <w:szCs w:val="20"/>
                        </w:rPr>
                        <w:t xml:space="preserve"> Australia</w:t>
                      </w:r>
                      <w:r w:rsidR="00645D3E" w:rsidRPr="00BA6093">
                        <w:rPr>
                          <w:szCs w:val="20"/>
                        </w:rPr>
                        <w:t xml:space="preserve"> Pty Ltd and I as your adviser may receive commission based on your premium for the duration of time you hold an insurance policy, fees based on the volume of assets under advice and gifts and other non-monetary benefits. For these reasons, we are unable to refer to ourselves as ‘independent’, ‘impartial’ or ‘unbiased’.</w:t>
                      </w:r>
                    </w:p>
                  </w:txbxContent>
                </v:textbox>
                <w10:wrap type="square"/>
              </v:shape>
            </w:pict>
          </mc:Fallback>
        </mc:AlternateContent>
      </w:r>
      <w:r w:rsidR="00743EAD" w:rsidRPr="00941FF0">
        <w:t>What if I have a complaint?</w:t>
      </w:r>
    </w:p>
    <w:p w14:paraId="1E36739C" w14:textId="44B464BF" w:rsidR="00F92456" w:rsidRDefault="00F92456" w:rsidP="004128D3">
      <w:pPr>
        <w:spacing w:after="60"/>
        <w:jc w:val="left"/>
      </w:pPr>
      <w:r>
        <w:t>If you have a complaint, please contact us directly.</w:t>
      </w:r>
    </w:p>
    <w:p w14:paraId="08E9ED32" w14:textId="718BE0A8" w:rsidR="00864672" w:rsidRDefault="00F92456" w:rsidP="00A778AD">
      <w:pPr>
        <w:spacing w:after="60"/>
      </w:pPr>
      <w:r>
        <w:t>Our contact details are:</w:t>
      </w:r>
    </w:p>
    <w:p w14:paraId="6C60AFD3" w14:textId="28D28900" w:rsidR="00EB01CE" w:rsidRPr="000C2911" w:rsidRDefault="00EB01CE" w:rsidP="00F92456">
      <w:pPr>
        <w:spacing w:after="0"/>
        <w:rPr>
          <w:position w:val="6"/>
        </w:rPr>
      </w:pPr>
      <w:r w:rsidRPr="00F04CEF">
        <w:rPr>
          <w:rFonts w:ascii="Wingdings" w:hAnsi="Wingdings"/>
          <w:sz w:val="32"/>
          <w:szCs w:val="32"/>
        </w:rPr>
        <w:sym w:font="Wingdings" w:char="F028"/>
      </w:r>
      <w:r w:rsidRPr="00F04CEF">
        <w:tab/>
      </w:r>
      <w:r w:rsidRPr="008B6760">
        <w:rPr>
          <w:position w:val="4"/>
        </w:rPr>
        <w:t>0</w:t>
      </w:r>
      <w:r w:rsidR="00F62B1E" w:rsidRPr="008B6760">
        <w:rPr>
          <w:position w:val="4"/>
        </w:rPr>
        <w:t xml:space="preserve">2 </w:t>
      </w:r>
      <w:r w:rsidR="008B6760" w:rsidRPr="008B6760">
        <w:rPr>
          <w:position w:val="4"/>
        </w:rPr>
        <w:t>8003</w:t>
      </w:r>
      <w:r w:rsidR="008B6760">
        <w:rPr>
          <w:position w:val="4"/>
        </w:rPr>
        <w:t xml:space="preserve"> 6899</w:t>
      </w:r>
    </w:p>
    <w:p w14:paraId="54461D19" w14:textId="29C1C1EB" w:rsidR="00EB01CE" w:rsidRPr="00F04CEF" w:rsidRDefault="00EB01CE" w:rsidP="00F92456">
      <w:pPr>
        <w:spacing w:after="0"/>
        <w:rPr>
          <w:b/>
          <w:bCs/>
          <w:position w:val="2"/>
        </w:rPr>
      </w:pPr>
      <w:r w:rsidRPr="00F04CEF">
        <w:rPr>
          <w:sz w:val="28"/>
          <w:szCs w:val="28"/>
        </w:rPr>
        <w:sym w:font="Wingdings" w:char="F02A"/>
      </w:r>
      <w:r w:rsidRPr="00F04CEF">
        <w:tab/>
      </w:r>
      <w:r w:rsidR="00F92456" w:rsidRPr="00F92456">
        <w:rPr>
          <w:position w:val="2"/>
        </w:rPr>
        <w:t>admin@</w:t>
      </w:r>
      <w:r w:rsidR="00F62B1E">
        <w:rPr>
          <w:position w:val="2"/>
        </w:rPr>
        <w:t>consilium</w:t>
      </w:r>
      <w:r w:rsidR="008B6760">
        <w:rPr>
          <w:position w:val="2"/>
        </w:rPr>
        <w:t>advice</w:t>
      </w:r>
      <w:r w:rsidR="00F92456" w:rsidRPr="00F92456">
        <w:rPr>
          <w:position w:val="2"/>
        </w:rPr>
        <w:t>.com.au</w:t>
      </w:r>
    </w:p>
    <w:p w14:paraId="6ED53B6A" w14:textId="77777777" w:rsidR="00F92456" w:rsidRDefault="00EB01CE" w:rsidP="00F92456">
      <w:pPr>
        <w:spacing w:after="0"/>
        <w:jc w:val="left"/>
      </w:pPr>
      <w:r w:rsidRPr="00F04CEF">
        <w:rPr>
          <w:rFonts w:ascii="Wingdings" w:hAnsi="Wingdings"/>
          <w:sz w:val="28"/>
          <w:szCs w:val="28"/>
        </w:rPr>
        <w:t></w:t>
      </w:r>
      <w:r w:rsidRPr="00F04CEF">
        <w:tab/>
      </w:r>
      <w:r w:rsidR="00F92456" w:rsidRPr="00743EAD">
        <w:t>The Complaints Manager,</w:t>
      </w:r>
    </w:p>
    <w:p w14:paraId="05553252" w14:textId="1FD92A40" w:rsidR="00F92456" w:rsidRDefault="00F62B1E" w:rsidP="00F92456">
      <w:pPr>
        <w:spacing w:after="0"/>
        <w:ind w:firstLine="720"/>
        <w:jc w:val="left"/>
      </w:pPr>
      <w:r>
        <w:t>Consilium Advice</w:t>
      </w:r>
      <w:r w:rsidR="008B6760">
        <w:t xml:space="preserve"> Australia </w:t>
      </w:r>
      <w:r w:rsidR="00F92456" w:rsidRPr="00743EAD">
        <w:t>Pty</w:t>
      </w:r>
      <w:r w:rsidR="00F92456">
        <w:t xml:space="preserve"> Ltd</w:t>
      </w:r>
    </w:p>
    <w:p w14:paraId="0C23624E" w14:textId="790E51BF" w:rsidR="00F92456" w:rsidRPr="008B6760" w:rsidRDefault="00F62B1E" w:rsidP="00F92456">
      <w:pPr>
        <w:spacing w:after="0"/>
        <w:ind w:firstLine="720"/>
        <w:jc w:val="left"/>
      </w:pPr>
      <w:r w:rsidRPr="008B6760">
        <w:t xml:space="preserve">Suite </w:t>
      </w:r>
      <w:r w:rsidR="008B6760" w:rsidRPr="008B6760">
        <w:t>807</w:t>
      </w:r>
      <w:r w:rsidRPr="008B6760">
        <w:t xml:space="preserve"> </w:t>
      </w:r>
      <w:r w:rsidR="008B6760" w:rsidRPr="008B6760">
        <w:t>229-231 Macquarie</w:t>
      </w:r>
      <w:r w:rsidR="00F92456" w:rsidRPr="008B6760">
        <w:t xml:space="preserve"> Street</w:t>
      </w:r>
    </w:p>
    <w:p w14:paraId="01422197" w14:textId="24EE74A0" w:rsidR="00EB01CE" w:rsidRPr="00F92456" w:rsidRDefault="00F62B1E" w:rsidP="00F92456">
      <w:pPr>
        <w:spacing w:after="60"/>
        <w:ind w:firstLine="720"/>
        <w:jc w:val="left"/>
        <w:rPr>
          <w:b/>
          <w:bCs/>
        </w:rPr>
      </w:pPr>
      <w:r w:rsidRPr="008B6760">
        <w:rPr>
          <w:b/>
          <w:bCs/>
        </w:rPr>
        <w:t>SYDNEY</w:t>
      </w:r>
      <w:r w:rsidR="00F92456" w:rsidRPr="008B6760">
        <w:rPr>
          <w:b/>
          <w:bCs/>
        </w:rPr>
        <w:t xml:space="preserve"> </w:t>
      </w:r>
      <w:r w:rsidRPr="008B6760">
        <w:rPr>
          <w:b/>
          <w:bCs/>
        </w:rPr>
        <w:t>NSW</w:t>
      </w:r>
      <w:r w:rsidR="00F92456" w:rsidRPr="008B6760">
        <w:rPr>
          <w:b/>
          <w:bCs/>
        </w:rPr>
        <w:t xml:space="preserve"> </w:t>
      </w:r>
      <w:r w:rsidRPr="008B6760">
        <w:rPr>
          <w:b/>
          <w:bCs/>
        </w:rPr>
        <w:t>2000</w:t>
      </w:r>
    </w:p>
    <w:p w14:paraId="22556A85" w14:textId="77777777" w:rsidR="00F92456" w:rsidRDefault="00743EAD" w:rsidP="00A778AD">
      <w:pPr>
        <w:spacing w:after="60"/>
      </w:pPr>
      <w:r w:rsidRPr="00941FF0">
        <w:t>If you are not satisfied with our response, you can contact th</w:t>
      </w:r>
      <w:r w:rsidR="00F92456">
        <w:t>e:</w:t>
      </w:r>
    </w:p>
    <w:p w14:paraId="7A3DEF83" w14:textId="239EE8CB" w:rsidR="00941FF0" w:rsidRDefault="00743EAD" w:rsidP="000C2911">
      <w:pPr>
        <w:spacing w:after="120"/>
        <w:jc w:val="left"/>
      </w:pPr>
      <w:r w:rsidRPr="00941FF0">
        <w:t xml:space="preserve">Australian Financial Complaints Authority </w:t>
      </w:r>
      <w:r w:rsidRPr="00097E2E">
        <w:rPr>
          <w:b/>
          <w:bCs/>
        </w:rPr>
        <w:t>(AFCA)</w:t>
      </w:r>
      <w:r w:rsidRPr="00941FF0">
        <w:t xml:space="preserve">, which is a service for consumers. </w:t>
      </w:r>
    </w:p>
    <w:p w14:paraId="4B27C942" w14:textId="2E4F0E75" w:rsidR="00EB01CE" w:rsidRPr="00EB01CE" w:rsidRDefault="00743EAD" w:rsidP="000C2911">
      <w:pPr>
        <w:spacing w:after="20"/>
      </w:pPr>
      <w:r w:rsidRPr="00941FF0">
        <w:t>The contact details for AFCA are:</w:t>
      </w:r>
    </w:p>
    <w:p w14:paraId="55A4D9E8" w14:textId="77777777" w:rsidR="00EB01CE" w:rsidRPr="000C2911" w:rsidRDefault="00EB01CE" w:rsidP="00F92456">
      <w:pPr>
        <w:spacing w:after="0"/>
        <w:rPr>
          <w:position w:val="6"/>
        </w:rPr>
      </w:pPr>
      <w:bookmarkStart w:id="4" w:name="_Hlk45565329"/>
      <w:r w:rsidRPr="00F04CEF">
        <w:rPr>
          <w:rFonts w:ascii="Wingdings" w:hAnsi="Wingdings"/>
          <w:sz w:val="32"/>
          <w:szCs w:val="32"/>
        </w:rPr>
        <w:sym w:font="Wingdings" w:char="F028"/>
      </w:r>
      <w:r w:rsidRPr="00F04CEF">
        <w:tab/>
      </w:r>
      <w:r w:rsidRPr="000C2911">
        <w:rPr>
          <w:position w:val="4"/>
        </w:rPr>
        <w:t>Toll free: 1800 931 678</w:t>
      </w:r>
    </w:p>
    <w:p w14:paraId="30486C74" w14:textId="77777777" w:rsidR="00EB01CE" w:rsidRPr="000C2911" w:rsidRDefault="00EB01CE" w:rsidP="00F92456">
      <w:pPr>
        <w:spacing w:after="0"/>
        <w:rPr>
          <w:position w:val="2"/>
        </w:rPr>
      </w:pPr>
      <w:r w:rsidRPr="000C2911">
        <w:rPr>
          <w:sz w:val="28"/>
          <w:szCs w:val="28"/>
        </w:rPr>
        <w:sym w:font="Wingdings" w:char="F02A"/>
      </w:r>
      <w:r w:rsidRPr="000C2911">
        <w:tab/>
      </w:r>
      <w:r w:rsidRPr="000C2911">
        <w:rPr>
          <w:position w:val="2"/>
        </w:rPr>
        <w:t>info@afca.org.au</w:t>
      </w:r>
    </w:p>
    <w:p w14:paraId="65756971" w14:textId="16360918" w:rsidR="00EB01CE" w:rsidRPr="00F04CEF" w:rsidRDefault="00EB01CE" w:rsidP="00F92456">
      <w:pPr>
        <w:spacing w:after="0"/>
        <w:jc w:val="left"/>
        <w:rPr>
          <w:b/>
          <w:bCs/>
        </w:rPr>
      </w:pPr>
      <w:r w:rsidRPr="00F04CEF">
        <w:rPr>
          <w:rFonts w:ascii="Wingdings" w:hAnsi="Wingdings"/>
          <w:sz w:val="28"/>
          <w:szCs w:val="28"/>
        </w:rPr>
        <w:t></w:t>
      </w:r>
      <w:r w:rsidRPr="00F04CEF">
        <w:tab/>
      </w:r>
      <w:r w:rsidRPr="00EB01CE">
        <w:t>GPO Box 3</w:t>
      </w:r>
      <w:r w:rsidRPr="00F04CEF">
        <w:rPr>
          <w:b/>
          <w:bCs/>
        </w:rPr>
        <w:t xml:space="preserve"> MELBOURNE VIC 3001</w:t>
      </w:r>
    </w:p>
    <w:p w14:paraId="7AA48D1E" w14:textId="645B02F1" w:rsidR="00EB01CE" w:rsidRDefault="00EB01CE" w:rsidP="00EB01CE">
      <w:pPr>
        <w:spacing w:after="60"/>
        <w:jc w:val="left"/>
      </w:pPr>
      <w:r w:rsidRPr="00F04CEF">
        <w:rPr>
          <w:rFonts w:ascii="Wingdings" w:hAnsi="Wingdings"/>
          <w:sz w:val="36"/>
          <w:szCs w:val="36"/>
        </w:rPr>
        <w:t></w:t>
      </w:r>
      <w:r w:rsidRPr="00F04CEF">
        <w:rPr>
          <w:b/>
          <w:bCs/>
        </w:rPr>
        <w:tab/>
      </w:r>
      <w:hyperlink r:id="rId10" w:history="1">
        <w:r w:rsidRPr="00F04CEF">
          <w:rPr>
            <w:rStyle w:val="Hyperlink"/>
            <w:b/>
            <w:bCs/>
            <w:position w:val="4"/>
          </w:rPr>
          <w:t>www.afca.org.au</w:t>
        </w:r>
      </w:hyperlink>
    </w:p>
    <w:p w14:paraId="70C18903" w14:textId="4FDFD9DD" w:rsidR="00EB01CE" w:rsidRPr="00743EAD" w:rsidRDefault="00EB01CE" w:rsidP="00A778AD">
      <w:pPr>
        <w:spacing w:after="0"/>
        <w:jc w:val="left"/>
        <w:sectPr w:rsidR="00EB01CE" w:rsidRPr="00743EAD" w:rsidSect="00A778AD">
          <w:type w:val="continuous"/>
          <w:pgSz w:w="12240" w:h="15840" w:code="1"/>
          <w:pgMar w:top="1588" w:right="1247" w:bottom="1247" w:left="1247" w:header="720" w:footer="720" w:gutter="0"/>
          <w:cols w:num="2" w:space="720"/>
          <w:docGrid w:linePitch="360"/>
        </w:sectPr>
      </w:pPr>
    </w:p>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6"/>
        <w:gridCol w:w="236"/>
        <w:gridCol w:w="3460"/>
        <w:gridCol w:w="280"/>
        <w:gridCol w:w="2159"/>
      </w:tblGrid>
      <w:tr w:rsidR="00892E94" w:rsidRPr="00743EAD" w14:paraId="00D0B5DF" w14:textId="77777777" w:rsidTr="00A778AD">
        <w:trPr>
          <w:trHeight w:val="283"/>
        </w:trPr>
        <w:tc>
          <w:tcPr>
            <w:tcW w:w="3646" w:type="dxa"/>
            <w:tcBorders>
              <w:bottom w:val="single" w:sz="4" w:space="0" w:color="BFBFBF" w:themeColor="background1" w:themeShade="BF"/>
            </w:tcBorders>
            <w:tcMar>
              <w:left w:w="29" w:type="dxa"/>
              <w:right w:w="115" w:type="dxa"/>
            </w:tcMar>
            <w:vAlign w:val="bottom"/>
          </w:tcPr>
          <w:p w14:paraId="3C56EE41" w14:textId="634F356D" w:rsidR="00892E94" w:rsidRPr="00DB7A36" w:rsidRDefault="00892E94" w:rsidP="00A778AD">
            <w:pPr>
              <w:spacing w:before="120" w:after="0"/>
              <w:rPr>
                <w:b/>
                <w:bCs/>
              </w:rPr>
            </w:pPr>
            <w:bookmarkStart w:id="5" w:name="_Hlk45573211"/>
            <w:r w:rsidRPr="00DB7A36">
              <w:rPr>
                <w:b/>
                <w:bCs/>
              </w:rPr>
              <w:t>Client 1 name</w:t>
            </w:r>
          </w:p>
        </w:tc>
        <w:tc>
          <w:tcPr>
            <w:tcW w:w="236" w:type="dxa"/>
            <w:tcMar>
              <w:left w:w="29" w:type="dxa"/>
              <w:right w:w="115" w:type="dxa"/>
            </w:tcMar>
            <w:vAlign w:val="bottom"/>
          </w:tcPr>
          <w:p w14:paraId="6DFF0F66" w14:textId="77777777" w:rsidR="00892E94" w:rsidRPr="00DB7A36" w:rsidRDefault="00892E94" w:rsidP="00A778AD">
            <w:pPr>
              <w:spacing w:before="120" w:after="0"/>
              <w:rPr>
                <w:b/>
                <w:bCs/>
              </w:rPr>
            </w:pPr>
          </w:p>
        </w:tc>
        <w:tc>
          <w:tcPr>
            <w:tcW w:w="3460" w:type="dxa"/>
            <w:tcBorders>
              <w:bottom w:val="single" w:sz="4" w:space="0" w:color="BFBFBF" w:themeColor="background1" w:themeShade="BF"/>
            </w:tcBorders>
            <w:tcMar>
              <w:left w:w="29" w:type="dxa"/>
              <w:right w:w="115" w:type="dxa"/>
            </w:tcMar>
            <w:vAlign w:val="bottom"/>
          </w:tcPr>
          <w:p w14:paraId="6CFEA973" w14:textId="5EC05E4A" w:rsidR="00892E94" w:rsidRPr="00DB7A36" w:rsidRDefault="00892E94" w:rsidP="00A778AD">
            <w:pPr>
              <w:spacing w:before="120" w:after="0"/>
              <w:rPr>
                <w:b/>
                <w:bCs/>
              </w:rPr>
            </w:pPr>
            <w:r w:rsidRPr="00DB7A36">
              <w:rPr>
                <w:b/>
                <w:bCs/>
              </w:rPr>
              <w:t>Signature</w:t>
            </w:r>
          </w:p>
        </w:tc>
        <w:tc>
          <w:tcPr>
            <w:tcW w:w="280" w:type="dxa"/>
            <w:tcMar>
              <w:left w:w="29" w:type="dxa"/>
              <w:right w:w="115" w:type="dxa"/>
            </w:tcMar>
            <w:vAlign w:val="bottom"/>
          </w:tcPr>
          <w:p w14:paraId="00B7821D" w14:textId="77777777" w:rsidR="00892E94" w:rsidRPr="00DB7A36" w:rsidRDefault="00892E94" w:rsidP="00A778AD">
            <w:pPr>
              <w:spacing w:before="120" w:after="0"/>
              <w:rPr>
                <w:b/>
                <w:bCs/>
              </w:rPr>
            </w:pPr>
          </w:p>
        </w:tc>
        <w:tc>
          <w:tcPr>
            <w:tcW w:w="2159" w:type="dxa"/>
            <w:tcBorders>
              <w:bottom w:val="single" w:sz="4" w:space="0" w:color="BFBFBF" w:themeColor="background1" w:themeShade="BF"/>
            </w:tcBorders>
            <w:tcMar>
              <w:left w:w="29" w:type="dxa"/>
              <w:right w:w="115" w:type="dxa"/>
            </w:tcMar>
            <w:vAlign w:val="bottom"/>
          </w:tcPr>
          <w:p w14:paraId="1B074437" w14:textId="1C33892F" w:rsidR="00892E94" w:rsidRPr="00DB7A36" w:rsidRDefault="00892E94" w:rsidP="00A778AD">
            <w:pPr>
              <w:spacing w:before="120" w:after="0"/>
              <w:rPr>
                <w:b/>
                <w:bCs/>
              </w:rPr>
            </w:pPr>
            <w:r w:rsidRPr="00DB7A36">
              <w:rPr>
                <w:b/>
                <w:bCs/>
              </w:rPr>
              <w:t>Date signed</w:t>
            </w:r>
          </w:p>
        </w:tc>
      </w:tr>
      <w:tr w:rsidR="00957892" w14:paraId="66BED7C2" w14:textId="77777777" w:rsidTr="00A778AD">
        <w:trPr>
          <w:trHeight w:val="283"/>
        </w:trPr>
        <w:tc>
          <w:tcPr>
            <w:tcW w:w="3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29" w:type="dxa"/>
              <w:right w:w="115" w:type="dxa"/>
            </w:tcMar>
            <w:vAlign w:val="bottom"/>
          </w:tcPr>
          <w:p w14:paraId="61DDDA5A" w14:textId="3F3D523D" w:rsidR="00892E94" w:rsidRPr="00B03AC3" w:rsidRDefault="00892E94" w:rsidP="00A778AD">
            <w:pPr>
              <w:spacing w:after="0"/>
            </w:pPr>
          </w:p>
        </w:tc>
        <w:tc>
          <w:tcPr>
            <w:tcW w:w="236" w:type="dxa"/>
            <w:tcBorders>
              <w:left w:val="single" w:sz="4" w:space="0" w:color="BFBFBF" w:themeColor="background1" w:themeShade="BF"/>
              <w:right w:val="single" w:sz="4" w:space="0" w:color="BFBFBF" w:themeColor="background1" w:themeShade="BF"/>
            </w:tcBorders>
            <w:tcMar>
              <w:left w:w="29" w:type="dxa"/>
              <w:right w:w="115" w:type="dxa"/>
            </w:tcMar>
            <w:vAlign w:val="bottom"/>
          </w:tcPr>
          <w:p w14:paraId="170EA8F2" w14:textId="77777777" w:rsidR="00892E94" w:rsidRPr="00B03AC3" w:rsidRDefault="00892E94" w:rsidP="00A778AD">
            <w:pPr>
              <w:spacing w:after="0"/>
            </w:pPr>
          </w:p>
        </w:tc>
        <w:tc>
          <w:tcPr>
            <w:tcW w:w="34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29" w:type="dxa"/>
              <w:right w:w="115" w:type="dxa"/>
            </w:tcMar>
            <w:vAlign w:val="bottom"/>
          </w:tcPr>
          <w:p w14:paraId="28740503" w14:textId="77777777" w:rsidR="00892E94" w:rsidRPr="00B03AC3" w:rsidRDefault="00892E94" w:rsidP="00A778AD">
            <w:pPr>
              <w:spacing w:after="0"/>
            </w:pPr>
          </w:p>
        </w:tc>
        <w:tc>
          <w:tcPr>
            <w:tcW w:w="280" w:type="dxa"/>
            <w:tcBorders>
              <w:left w:val="single" w:sz="4" w:space="0" w:color="BFBFBF" w:themeColor="background1" w:themeShade="BF"/>
              <w:right w:val="single" w:sz="4" w:space="0" w:color="BFBFBF" w:themeColor="background1" w:themeShade="BF"/>
            </w:tcBorders>
            <w:tcMar>
              <w:left w:w="29" w:type="dxa"/>
              <w:right w:w="115" w:type="dxa"/>
            </w:tcMar>
            <w:vAlign w:val="bottom"/>
          </w:tcPr>
          <w:p w14:paraId="05F1074E" w14:textId="77777777" w:rsidR="00892E94" w:rsidRPr="00B03AC3" w:rsidRDefault="00892E94" w:rsidP="00A778AD">
            <w:pPr>
              <w:spacing w:after="0"/>
            </w:pPr>
          </w:p>
        </w:tc>
        <w:tc>
          <w:tcPr>
            <w:tcW w:w="21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29" w:type="dxa"/>
              <w:right w:w="115" w:type="dxa"/>
            </w:tcMar>
            <w:vAlign w:val="bottom"/>
          </w:tcPr>
          <w:p w14:paraId="0AB1EC31" w14:textId="57898A8D" w:rsidR="00892E94" w:rsidRPr="00B03AC3" w:rsidRDefault="00A17BCA" w:rsidP="00A778AD">
            <w:pPr>
              <w:spacing w:after="0"/>
            </w:pPr>
            <w:r w:rsidRPr="00A17BCA">
              <w:rPr>
                <w:b/>
                <w:bCs/>
                <w:color w:val="DFDFDF" w:themeColor="background2" w:themeShade="E6"/>
              </w:rPr>
              <w:t>dd/mm/yyyy</w:t>
            </w:r>
          </w:p>
        </w:tc>
      </w:tr>
      <w:tr w:rsidR="00892E94" w14:paraId="1816502A" w14:textId="77777777" w:rsidTr="00A778AD">
        <w:trPr>
          <w:trHeight w:val="283"/>
        </w:trPr>
        <w:tc>
          <w:tcPr>
            <w:tcW w:w="3646" w:type="dxa"/>
            <w:tcBorders>
              <w:top w:val="single" w:sz="4" w:space="0" w:color="BFBFBF" w:themeColor="background1" w:themeShade="BF"/>
              <w:bottom w:val="single" w:sz="4" w:space="0" w:color="BFBFBF" w:themeColor="background1" w:themeShade="BF"/>
            </w:tcBorders>
            <w:tcMar>
              <w:left w:w="29" w:type="dxa"/>
              <w:right w:w="115" w:type="dxa"/>
            </w:tcMar>
            <w:vAlign w:val="bottom"/>
          </w:tcPr>
          <w:p w14:paraId="42682403" w14:textId="72DA417F" w:rsidR="00892E94" w:rsidRPr="00DB7A36" w:rsidRDefault="00892E94" w:rsidP="00A778AD">
            <w:pPr>
              <w:spacing w:before="120" w:after="0"/>
              <w:rPr>
                <w:b/>
                <w:bCs/>
              </w:rPr>
            </w:pPr>
            <w:r w:rsidRPr="00DB7A36">
              <w:rPr>
                <w:b/>
                <w:bCs/>
              </w:rPr>
              <w:t xml:space="preserve">Client </w:t>
            </w:r>
            <w:r w:rsidR="008702C2" w:rsidRPr="00DB7A36">
              <w:rPr>
                <w:b/>
                <w:bCs/>
              </w:rPr>
              <w:t>2</w:t>
            </w:r>
            <w:r w:rsidRPr="00DB7A36">
              <w:rPr>
                <w:b/>
                <w:bCs/>
              </w:rPr>
              <w:t xml:space="preserve"> name</w:t>
            </w:r>
          </w:p>
        </w:tc>
        <w:tc>
          <w:tcPr>
            <w:tcW w:w="236" w:type="dxa"/>
            <w:tcMar>
              <w:left w:w="29" w:type="dxa"/>
              <w:right w:w="115" w:type="dxa"/>
            </w:tcMar>
            <w:vAlign w:val="bottom"/>
          </w:tcPr>
          <w:p w14:paraId="303A6E91" w14:textId="77777777" w:rsidR="00892E94" w:rsidRPr="00DB7A36" w:rsidRDefault="00892E94" w:rsidP="00A778AD">
            <w:pPr>
              <w:spacing w:before="120" w:after="0"/>
              <w:rPr>
                <w:b/>
                <w:bCs/>
              </w:rPr>
            </w:pPr>
          </w:p>
        </w:tc>
        <w:tc>
          <w:tcPr>
            <w:tcW w:w="3460" w:type="dxa"/>
            <w:tcBorders>
              <w:top w:val="single" w:sz="4" w:space="0" w:color="BFBFBF" w:themeColor="background1" w:themeShade="BF"/>
              <w:bottom w:val="single" w:sz="4" w:space="0" w:color="BFBFBF" w:themeColor="background1" w:themeShade="BF"/>
            </w:tcBorders>
            <w:tcMar>
              <w:left w:w="29" w:type="dxa"/>
              <w:right w:w="115" w:type="dxa"/>
            </w:tcMar>
            <w:vAlign w:val="bottom"/>
          </w:tcPr>
          <w:p w14:paraId="4CB08498" w14:textId="77777777" w:rsidR="00892E94" w:rsidRPr="00DB7A36" w:rsidRDefault="00892E94" w:rsidP="00A778AD">
            <w:pPr>
              <w:spacing w:before="120" w:after="0"/>
              <w:rPr>
                <w:b/>
                <w:bCs/>
              </w:rPr>
            </w:pPr>
            <w:r w:rsidRPr="00DB7A36">
              <w:rPr>
                <w:b/>
                <w:bCs/>
              </w:rPr>
              <w:t>Signature</w:t>
            </w:r>
          </w:p>
        </w:tc>
        <w:tc>
          <w:tcPr>
            <w:tcW w:w="280" w:type="dxa"/>
            <w:tcMar>
              <w:left w:w="29" w:type="dxa"/>
              <w:right w:w="115" w:type="dxa"/>
            </w:tcMar>
            <w:vAlign w:val="bottom"/>
          </w:tcPr>
          <w:p w14:paraId="2ADBA5D8" w14:textId="77777777" w:rsidR="00892E94" w:rsidRPr="00DB7A36" w:rsidRDefault="00892E94" w:rsidP="00A778AD">
            <w:pPr>
              <w:spacing w:before="120" w:after="0"/>
              <w:rPr>
                <w:b/>
                <w:bCs/>
              </w:rPr>
            </w:pPr>
          </w:p>
        </w:tc>
        <w:tc>
          <w:tcPr>
            <w:tcW w:w="2159" w:type="dxa"/>
            <w:tcBorders>
              <w:top w:val="single" w:sz="4" w:space="0" w:color="BFBFBF" w:themeColor="background1" w:themeShade="BF"/>
              <w:bottom w:val="single" w:sz="4" w:space="0" w:color="BFBFBF" w:themeColor="background1" w:themeShade="BF"/>
            </w:tcBorders>
            <w:tcMar>
              <w:left w:w="29" w:type="dxa"/>
              <w:right w:w="115" w:type="dxa"/>
            </w:tcMar>
            <w:vAlign w:val="bottom"/>
          </w:tcPr>
          <w:p w14:paraId="47761527" w14:textId="0E56C2BE" w:rsidR="00892E94" w:rsidRPr="00DB7A36" w:rsidRDefault="00892E94" w:rsidP="00A778AD">
            <w:pPr>
              <w:spacing w:before="120" w:after="0"/>
              <w:rPr>
                <w:b/>
                <w:bCs/>
              </w:rPr>
            </w:pPr>
            <w:r w:rsidRPr="00DB7A36">
              <w:rPr>
                <w:b/>
                <w:bCs/>
              </w:rPr>
              <w:t>Date signed</w:t>
            </w:r>
          </w:p>
        </w:tc>
      </w:tr>
      <w:tr w:rsidR="00957892" w14:paraId="1C683D93" w14:textId="77777777" w:rsidTr="00A778AD">
        <w:trPr>
          <w:trHeight w:val="283"/>
        </w:trPr>
        <w:tc>
          <w:tcPr>
            <w:tcW w:w="3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29" w:type="dxa"/>
              <w:right w:w="115" w:type="dxa"/>
            </w:tcMar>
            <w:vAlign w:val="bottom"/>
          </w:tcPr>
          <w:p w14:paraId="2B0E0A50" w14:textId="77777777" w:rsidR="00892E94" w:rsidRPr="00B03AC3" w:rsidRDefault="00892E94" w:rsidP="00A778AD">
            <w:pPr>
              <w:spacing w:after="0"/>
            </w:pPr>
          </w:p>
        </w:tc>
        <w:tc>
          <w:tcPr>
            <w:tcW w:w="236" w:type="dxa"/>
            <w:tcBorders>
              <w:left w:val="single" w:sz="4" w:space="0" w:color="BFBFBF" w:themeColor="background1" w:themeShade="BF"/>
              <w:right w:val="single" w:sz="4" w:space="0" w:color="BFBFBF" w:themeColor="background1" w:themeShade="BF"/>
            </w:tcBorders>
            <w:tcMar>
              <w:left w:w="29" w:type="dxa"/>
              <w:right w:w="115" w:type="dxa"/>
            </w:tcMar>
            <w:vAlign w:val="bottom"/>
          </w:tcPr>
          <w:p w14:paraId="54AE7B99" w14:textId="77777777" w:rsidR="00892E94" w:rsidRPr="00B03AC3" w:rsidRDefault="00892E94" w:rsidP="00A778AD">
            <w:pPr>
              <w:spacing w:after="0"/>
            </w:pPr>
          </w:p>
        </w:tc>
        <w:tc>
          <w:tcPr>
            <w:tcW w:w="34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29" w:type="dxa"/>
              <w:right w:w="115" w:type="dxa"/>
            </w:tcMar>
            <w:vAlign w:val="bottom"/>
          </w:tcPr>
          <w:p w14:paraId="44C882EF" w14:textId="77777777" w:rsidR="00892E94" w:rsidRPr="00B03AC3" w:rsidRDefault="00892E94" w:rsidP="00A778AD">
            <w:pPr>
              <w:spacing w:after="0"/>
            </w:pPr>
          </w:p>
        </w:tc>
        <w:tc>
          <w:tcPr>
            <w:tcW w:w="280" w:type="dxa"/>
            <w:tcBorders>
              <w:left w:val="single" w:sz="4" w:space="0" w:color="BFBFBF" w:themeColor="background1" w:themeShade="BF"/>
              <w:right w:val="single" w:sz="4" w:space="0" w:color="BFBFBF" w:themeColor="background1" w:themeShade="BF"/>
            </w:tcBorders>
            <w:tcMar>
              <w:left w:w="29" w:type="dxa"/>
              <w:right w:w="115" w:type="dxa"/>
            </w:tcMar>
            <w:vAlign w:val="bottom"/>
          </w:tcPr>
          <w:p w14:paraId="5B53E94F" w14:textId="1BF5CCD1" w:rsidR="00892E94" w:rsidRPr="00B03AC3" w:rsidRDefault="00892E94" w:rsidP="00A778AD">
            <w:pPr>
              <w:spacing w:after="0"/>
            </w:pPr>
          </w:p>
        </w:tc>
        <w:tc>
          <w:tcPr>
            <w:tcW w:w="21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29" w:type="dxa"/>
              <w:right w:w="115" w:type="dxa"/>
            </w:tcMar>
            <w:vAlign w:val="bottom"/>
          </w:tcPr>
          <w:p w14:paraId="3D2A5769" w14:textId="5295357D" w:rsidR="00892E94" w:rsidRPr="00B03AC3" w:rsidRDefault="00A17BCA" w:rsidP="00A778AD">
            <w:pPr>
              <w:spacing w:after="0"/>
            </w:pPr>
            <w:r w:rsidRPr="00A17BCA">
              <w:rPr>
                <w:b/>
                <w:bCs/>
                <w:color w:val="DFDFDF" w:themeColor="background2" w:themeShade="E6"/>
              </w:rPr>
              <w:t>dd/mm/yyyy</w:t>
            </w:r>
          </w:p>
        </w:tc>
      </w:tr>
      <w:bookmarkEnd w:id="4"/>
      <w:bookmarkEnd w:id="5"/>
    </w:tbl>
    <w:p w14:paraId="437E3884" w14:textId="6C0042A2" w:rsidR="00892E94" w:rsidRDefault="00892E94" w:rsidP="00C07149"/>
    <w:sectPr w:rsidR="00892E94" w:rsidSect="00585813">
      <w:type w:val="continuous"/>
      <w:pgSz w:w="12240" w:h="15840"/>
      <w:pgMar w:top="187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6372B" w14:textId="77777777" w:rsidR="00C43F0B" w:rsidRDefault="00C43F0B" w:rsidP="00F665F5">
      <w:pPr>
        <w:spacing w:after="0" w:line="240" w:lineRule="auto"/>
      </w:pPr>
      <w:r>
        <w:separator/>
      </w:r>
    </w:p>
  </w:endnote>
  <w:endnote w:type="continuationSeparator" w:id="0">
    <w:p w14:paraId="1864F4C0" w14:textId="77777777" w:rsidR="00C43F0B" w:rsidRDefault="00C43F0B" w:rsidP="00F6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Nova Light">
    <w:altName w:val="Arial Nova Light"/>
    <w:charset w:val="00"/>
    <w:family w:val="swiss"/>
    <w:pitch w:val="variable"/>
    <w:sig w:usb0="0000028F" w:usb1="00000002"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45552505" w:displacedByCustomXml="next"/>
  <w:bookmarkStart w:id="2" w:name="_Hlk75351893" w:displacedByCustomXml="next"/>
  <w:bookmarkStart w:id="3" w:name="_Hlk75351892" w:displacedByCustomXml="next"/>
  <w:sdt>
    <w:sdtPr>
      <w:rPr>
        <w:sz w:val="14"/>
        <w:szCs w:val="14"/>
      </w:rPr>
      <w:id w:val="-1060086621"/>
      <w:docPartObj>
        <w:docPartGallery w:val="Page Numbers (Bottom of Page)"/>
        <w:docPartUnique/>
      </w:docPartObj>
    </w:sdtPr>
    <w:sdtEndPr>
      <w:rPr>
        <w:rFonts w:ascii="Arial Nova Light" w:hAnsi="Arial Nova Light"/>
        <w:spacing w:val="20"/>
      </w:rPr>
    </w:sdtEndPr>
    <w:sdtContent>
      <w:bookmarkEnd w:id="1" w:displacedByCustomXml="prev"/>
      <w:p w14:paraId="4DDC4171" w14:textId="4C692CC6" w:rsidR="00042FD6" w:rsidRPr="008B6760" w:rsidRDefault="00042FD6" w:rsidP="00042FD6">
        <w:pPr>
          <w:pStyle w:val="Footer"/>
          <w:jc w:val="center"/>
          <w:rPr>
            <w:rFonts w:ascii="Arial Nova Light" w:hAnsi="Arial Nova Light" w:cstheme="minorHAnsi"/>
            <w:spacing w:val="20"/>
            <w:sz w:val="14"/>
            <w:szCs w:val="14"/>
          </w:rPr>
        </w:pPr>
        <w:r w:rsidRPr="008B6760">
          <w:rPr>
            <w:rFonts w:ascii="Arial Nova Light" w:hAnsi="Arial Nova Light"/>
            <w:noProof/>
            <w:spacing w:val="20"/>
            <w:sz w:val="14"/>
            <w:szCs w:val="14"/>
          </w:rPr>
          <w:t xml:space="preserve"> </w:t>
        </w:r>
        <w:r w:rsidR="00AF26D8" w:rsidRPr="008B6760">
          <w:rPr>
            <w:rFonts w:ascii="Arial Nova Light" w:hAnsi="Arial Nova Light" w:cstheme="minorHAnsi"/>
            <w:spacing w:val="20"/>
            <w:sz w:val="14"/>
            <w:szCs w:val="14"/>
          </w:rPr>
          <w:t>Consilium Advice</w:t>
        </w:r>
        <w:r w:rsidR="008B6760" w:rsidRPr="008B6760">
          <w:rPr>
            <w:rFonts w:ascii="Arial Nova Light" w:hAnsi="Arial Nova Light" w:cstheme="minorHAnsi"/>
            <w:spacing w:val="20"/>
            <w:sz w:val="14"/>
            <w:szCs w:val="14"/>
          </w:rPr>
          <w:t xml:space="preserve"> Australia</w:t>
        </w:r>
        <w:r w:rsidRPr="008B6760">
          <w:rPr>
            <w:rFonts w:ascii="Arial Nova Light" w:hAnsi="Arial Nova Light" w:cstheme="minorHAnsi"/>
            <w:spacing w:val="20"/>
            <w:sz w:val="14"/>
            <w:szCs w:val="14"/>
          </w:rPr>
          <w:t xml:space="preserve"> Pty Ltd ABN </w:t>
        </w:r>
        <w:r w:rsidR="008B6760" w:rsidRPr="008B6760">
          <w:rPr>
            <w:rFonts w:ascii="Arial Nova Light" w:hAnsi="Arial Nova Light" w:cstheme="minorHAnsi"/>
            <w:spacing w:val="20"/>
            <w:sz w:val="14"/>
            <w:szCs w:val="14"/>
          </w:rPr>
          <w:t>90</w:t>
        </w:r>
        <w:r w:rsidR="00AF26D8" w:rsidRPr="008B6760">
          <w:rPr>
            <w:rFonts w:ascii="Arial Nova Light" w:hAnsi="Arial Nova Light" w:cstheme="minorHAnsi"/>
            <w:spacing w:val="20"/>
            <w:sz w:val="14"/>
            <w:szCs w:val="14"/>
          </w:rPr>
          <w:t xml:space="preserve"> </w:t>
        </w:r>
        <w:r w:rsidR="008B6760" w:rsidRPr="008B6760">
          <w:rPr>
            <w:rFonts w:ascii="Arial Nova Light" w:hAnsi="Arial Nova Light" w:cstheme="minorHAnsi"/>
            <w:spacing w:val="20"/>
            <w:sz w:val="14"/>
            <w:szCs w:val="14"/>
          </w:rPr>
          <w:t xml:space="preserve">088 128 170 </w:t>
        </w:r>
        <w:r w:rsidRPr="008B6760">
          <w:rPr>
            <w:rFonts w:ascii="Arial Nova Light" w:hAnsi="Arial Nova Light" w:cstheme="minorHAnsi"/>
            <w:spacing w:val="20"/>
            <w:sz w:val="14"/>
            <w:szCs w:val="14"/>
          </w:rPr>
          <w:t xml:space="preserve"> AFSL No. </w:t>
        </w:r>
        <w:r w:rsidR="008B6760" w:rsidRPr="008B6760">
          <w:rPr>
            <w:rFonts w:ascii="Arial Nova Light" w:hAnsi="Arial Nova Light" w:cstheme="minorHAnsi"/>
            <w:spacing w:val="20"/>
            <w:sz w:val="14"/>
            <w:szCs w:val="14"/>
          </w:rPr>
          <w:t>246623</w:t>
        </w:r>
      </w:p>
      <w:p w14:paraId="15C76598" w14:textId="625A7F75" w:rsidR="00042FD6" w:rsidRPr="008B6760" w:rsidRDefault="00042FD6" w:rsidP="00042FD6">
        <w:pPr>
          <w:pStyle w:val="Footer"/>
          <w:jc w:val="center"/>
          <w:rPr>
            <w:rFonts w:ascii="Arial Nova Light" w:hAnsi="Arial Nova Light" w:cstheme="minorHAnsi"/>
            <w:spacing w:val="20"/>
            <w:sz w:val="14"/>
            <w:szCs w:val="14"/>
          </w:rPr>
        </w:pPr>
        <w:r w:rsidRPr="008B6760">
          <w:rPr>
            <w:rFonts w:ascii="Arial Nova Light" w:hAnsi="Arial Nova Light" w:cstheme="minorHAnsi"/>
            <w:spacing w:val="20"/>
            <w:sz w:val="14"/>
            <w:szCs w:val="14"/>
          </w:rPr>
          <w:t xml:space="preserve"> </w:t>
        </w:r>
        <w:r w:rsidR="008B6760" w:rsidRPr="008B6760">
          <w:rPr>
            <w:rFonts w:ascii="Arial Nova Light" w:hAnsi="Arial Nova Light" w:cstheme="minorHAnsi"/>
            <w:spacing w:val="20"/>
            <w:sz w:val="14"/>
            <w:szCs w:val="14"/>
          </w:rPr>
          <w:t>Suite 807, 229-23 Macquarie Street</w:t>
        </w:r>
        <w:r w:rsidRPr="008B6760">
          <w:rPr>
            <w:rFonts w:ascii="Arial Nova Light" w:hAnsi="Arial Nova Light" w:cstheme="minorHAnsi"/>
            <w:spacing w:val="20"/>
            <w:sz w:val="14"/>
            <w:szCs w:val="14"/>
          </w:rPr>
          <w:t xml:space="preserve">, </w:t>
        </w:r>
        <w:r w:rsidR="00AF26D8" w:rsidRPr="008B6760">
          <w:rPr>
            <w:rFonts w:ascii="Arial Nova Light" w:hAnsi="Arial Nova Light" w:cstheme="minorHAnsi"/>
            <w:spacing w:val="20"/>
            <w:sz w:val="14"/>
            <w:szCs w:val="14"/>
          </w:rPr>
          <w:t>SYDNEY</w:t>
        </w:r>
        <w:r w:rsidRPr="008B6760">
          <w:rPr>
            <w:rFonts w:ascii="Arial Nova Light" w:hAnsi="Arial Nova Light" w:cstheme="minorHAnsi"/>
            <w:spacing w:val="20"/>
            <w:sz w:val="14"/>
            <w:szCs w:val="14"/>
          </w:rPr>
          <w:t xml:space="preserve"> </w:t>
        </w:r>
        <w:r w:rsidR="00AF26D8" w:rsidRPr="008B6760">
          <w:rPr>
            <w:rFonts w:ascii="Arial Nova Light" w:hAnsi="Arial Nova Light" w:cstheme="minorHAnsi"/>
            <w:spacing w:val="20"/>
            <w:sz w:val="14"/>
            <w:szCs w:val="14"/>
          </w:rPr>
          <w:t>NSW 2000</w:t>
        </w:r>
      </w:p>
      <w:p w14:paraId="1D912E05" w14:textId="64EC221E" w:rsidR="00042FD6" w:rsidRPr="008B6760" w:rsidRDefault="00042FD6" w:rsidP="00042FD6">
        <w:pPr>
          <w:pStyle w:val="Footer"/>
          <w:jc w:val="center"/>
          <w:rPr>
            <w:rStyle w:val="Hyperlink"/>
            <w:rFonts w:ascii="Arial Nova Light" w:hAnsi="Arial Nova Light" w:cstheme="minorHAnsi"/>
            <w:color w:val="auto"/>
            <w:spacing w:val="20"/>
            <w:sz w:val="14"/>
            <w:szCs w:val="14"/>
            <w:u w:val="none"/>
            <w:lang w:val="pt-BR"/>
          </w:rPr>
        </w:pPr>
        <w:r w:rsidRPr="008B6760">
          <w:rPr>
            <w:rFonts w:ascii="Arial Nova Light" w:hAnsi="Arial Nova Light" w:cstheme="minorHAnsi"/>
            <w:spacing w:val="20"/>
            <w:sz w:val="14"/>
            <w:szCs w:val="14"/>
            <w:lang w:val="pt-BR"/>
          </w:rPr>
          <w:t>T: 0</w:t>
        </w:r>
        <w:r w:rsidR="00AF26D8" w:rsidRPr="008B6760">
          <w:rPr>
            <w:rFonts w:ascii="Arial Nova Light" w:hAnsi="Arial Nova Light" w:cstheme="minorHAnsi"/>
            <w:spacing w:val="20"/>
            <w:sz w:val="14"/>
            <w:szCs w:val="14"/>
            <w:lang w:val="pt-BR"/>
          </w:rPr>
          <w:t>2</w:t>
        </w:r>
        <w:r w:rsidRPr="008B6760">
          <w:rPr>
            <w:rFonts w:ascii="Arial Nova Light" w:hAnsi="Arial Nova Light" w:cstheme="minorHAnsi"/>
            <w:spacing w:val="20"/>
            <w:sz w:val="14"/>
            <w:szCs w:val="14"/>
            <w:lang w:val="pt-BR"/>
          </w:rPr>
          <w:t xml:space="preserve"> </w:t>
        </w:r>
        <w:r w:rsidR="00AF26D8" w:rsidRPr="008B6760">
          <w:rPr>
            <w:rFonts w:ascii="Arial Nova Light" w:hAnsi="Arial Nova Light" w:cstheme="minorHAnsi"/>
            <w:spacing w:val="20"/>
            <w:sz w:val="14"/>
            <w:szCs w:val="14"/>
            <w:lang w:val="pt-BR"/>
          </w:rPr>
          <w:t xml:space="preserve">8003 </w:t>
        </w:r>
        <w:r w:rsidR="008B6760" w:rsidRPr="008B6760">
          <w:rPr>
            <w:rFonts w:ascii="Arial Nova Light" w:hAnsi="Arial Nova Light" w:cstheme="minorHAnsi"/>
            <w:spacing w:val="20"/>
            <w:sz w:val="14"/>
            <w:szCs w:val="14"/>
            <w:lang w:val="pt-BR"/>
          </w:rPr>
          <w:t>6899</w:t>
        </w:r>
        <w:r w:rsidRPr="008B6760">
          <w:rPr>
            <w:rFonts w:ascii="Arial Nova Light" w:hAnsi="Arial Nova Light" w:cstheme="minorHAnsi"/>
            <w:spacing w:val="20"/>
            <w:sz w:val="14"/>
            <w:szCs w:val="14"/>
            <w:lang w:val="pt-BR"/>
          </w:rPr>
          <w:t xml:space="preserve"> E:</w:t>
        </w:r>
        <w:hyperlink r:id="rId1" w:history="1">
          <w:r w:rsidR="00AF26D8" w:rsidRPr="008B6760">
            <w:rPr>
              <w:rStyle w:val="Hyperlink"/>
              <w:rFonts w:ascii="Arial Nova Light" w:hAnsi="Arial Nova Light" w:cstheme="minorHAnsi"/>
              <w:spacing w:val="20"/>
              <w:sz w:val="14"/>
              <w:szCs w:val="14"/>
              <w:lang w:val="pt-BR"/>
            </w:rPr>
            <w:t>admin@consiliumadvice.com.au</w:t>
          </w:r>
        </w:hyperlink>
        <w:r w:rsidRPr="008B6760">
          <w:rPr>
            <w:rFonts w:ascii="Arial Nova Light" w:hAnsi="Arial Nova Light" w:cstheme="minorHAnsi"/>
            <w:spacing w:val="20"/>
            <w:sz w:val="14"/>
            <w:szCs w:val="14"/>
            <w:lang w:val="pt-BR"/>
          </w:rPr>
          <w:t xml:space="preserve"> W:</w:t>
        </w:r>
        <w:hyperlink r:id="rId2" w:history="1">
          <w:r w:rsidR="00AF26D8" w:rsidRPr="008B6760">
            <w:rPr>
              <w:rStyle w:val="Hyperlink"/>
              <w:rFonts w:ascii="Arial Nova Light" w:hAnsi="Arial Nova Light" w:cstheme="minorHAnsi"/>
              <w:spacing w:val="20"/>
              <w:sz w:val="14"/>
              <w:szCs w:val="14"/>
              <w:lang w:val="pt-BR"/>
            </w:rPr>
            <w:t>www.consiliumadvice.com.au</w:t>
          </w:r>
        </w:hyperlink>
        <w:r w:rsidRPr="008B6760">
          <w:rPr>
            <w:rStyle w:val="Hyperlink"/>
            <w:rFonts w:ascii="Arial Nova Light" w:hAnsi="Arial Nova Light" w:cstheme="minorHAnsi"/>
            <w:color w:val="auto"/>
            <w:spacing w:val="20"/>
            <w:sz w:val="14"/>
            <w:szCs w:val="14"/>
            <w:u w:val="none"/>
            <w:lang w:val="pt-BR"/>
          </w:rPr>
          <w:t xml:space="preserve"> </w:t>
        </w:r>
      </w:p>
      <w:p w14:paraId="304F75B1" w14:textId="7D862293" w:rsidR="00D57E15" w:rsidRPr="00042FD6" w:rsidRDefault="00042FD6" w:rsidP="00042FD6">
        <w:pPr>
          <w:pStyle w:val="Footer"/>
          <w:jc w:val="center"/>
          <w:rPr>
            <w:rFonts w:ascii="Arial Nova Light" w:hAnsi="Arial Nova Light"/>
            <w:spacing w:val="20"/>
            <w:sz w:val="14"/>
            <w:szCs w:val="14"/>
          </w:rPr>
        </w:pPr>
        <w:r w:rsidRPr="008B6760">
          <w:rPr>
            <w:rStyle w:val="Hyperlink"/>
            <w:rFonts w:ascii="Arial Nova Light" w:hAnsi="Arial Nova Light" w:cstheme="minorHAnsi"/>
            <w:color w:val="auto"/>
            <w:spacing w:val="20"/>
            <w:sz w:val="14"/>
            <w:szCs w:val="14"/>
            <w:u w:val="none"/>
            <w:lang w:val="pt-BR"/>
          </w:rPr>
          <w:t xml:space="preserve">Financial Services Guide Version </w:t>
        </w:r>
        <w:r w:rsidR="008B6760" w:rsidRPr="008B6760">
          <w:rPr>
            <w:rStyle w:val="Hyperlink"/>
            <w:rFonts w:ascii="Arial Nova Light" w:hAnsi="Arial Nova Light" w:cstheme="minorHAnsi"/>
            <w:color w:val="auto"/>
            <w:spacing w:val="20"/>
            <w:sz w:val="14"/>
            <w:szCs w:val="14"/>
            <w:u w:val="none"/>
            <w:lang w:val="pt-BR"/>
          </w:rPr>
          <w:t>7</w:t>
        </w:r>
        <w:r w:rsidRPr="008B6760">
          <w:rPr>
            <w:rStyle w:val="Hyperlink"/>
            <w:rFonts w:ascii="Arial Nova Light" w:hAnsi="Arial Nova Light" w:cstheme="minorHAnsi"/>
            <w:color w:val="auto"/>
            <w:spacing w:val="20"/>
            <w:sz w:val="14"/>
            <w:szCs w:val="14"/>
            <w:u w:val="none"/>
            <w:lang w:val="pt-BR"/>
          </w:rPr>
          <w:t xml:space="preserve"> Dated </w:t>
        </w:r>
        <w:r w:rsidR="00667633">
          <w:rPr>
            <w:rStyle w:val="Hyperlink"/>
            <w:rFonts w:ascii="Arial Nova Light" w:hAnsi="Arial Nova Light" w:cstheme="minorHAnsi"/>
            <w:color w:val="auto"/>
            <w:spacing w:val="20"/>
            <w:sz w:val="14"/>
            <w:szCs w:val="14"/>
            <w:u w:val="none"/>
            <w:lang w:val="pt-BR"/>
          </w:rPr>
          <w:t>17</w:t>
        </w:r>
        <w:r w:rsidR="00064A67">
          <w:rPr>
            <w:rStyle w:val="Hyperlink"/>
            <w:rFonts w:ascii="Arial Nova Light" w:hAnsi="Arial Nova Light" w:cstheme="minorHAnsi"/>
            <w:color w:val="auto"/>
            <w:spacing w:val="20"/>
            <w:sz w:val="14"/>
            <w:szCs w:val="14"/>
            <w:u w:val="none"/>
            <w:lang w:val="pt-BR"/>
          </w:rPr>
          <w:t>04</w:t>
        </w:r>
        <w:r w:rsidR="008B6760" w:rsidRPr="008B6760">
          <w:rPr>
            <w:rStyle w:val="Hyperlink"/>
            <w:rFonts w:ascii="Arial Nova Light" w:hAnsi="Arial Nova Light" w:cstheme="minorHAnsi"/>
            <w:color w:val="auto"/>
            <w:spacing w:val="20"/>
            <w:sz w:val="14"/>
            <w:szCs w:val="14"/>
            <w:u w:val="none"/>
            <w:lang w:val="pt-BR"/>
          </w:rPr>
          <w:t>202</w:t>
        </w:r>
        <w:r w:rsidR="00064A67">
          <w:rPr>
            <w:rStyle w:val="Hyperlink"/>
            <w:rFonts w:ascii="Arial Nova Light" w:hAnsi="Arial Nova Light" w:cstheme="minorHAnsi"/>
            <w:color w:val="auto"/>
            <w:spacing w:val="20"/>
            <w:sz w:val="14"/>
            <w:szCs w:val="14"/>
            <w:u w:val="none"/>
            <w:lang w:val="pt-BR"/>
          </w:rPr>
          <w:t>3</w:t>
        </w:r>
      </w:p>
    </w:sdtContent>
  </w:sdt>
  <w:bookmarkEnd w:id="2" w:displacedByCustomXml="prev"/>
  <w:bookmarkEnd w:id="3" w:displacedByCustomXml="prev"/>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8DA32" w14:textId="77777777" w:rsidR="00C43F0B" w:rsidRDefault="00C43F0B" w:rsidP="00F665F5">
      <w:pPr>
        <w:spacing w:after="0" w:line="240" w:lineRule="auto"/>
      </w:pPr>
      <w:r>
        <w:separator/>
      </w:r>
    </w:p>
  </w:footnote>
  <w:footnote w:type="continuationSeparator" w:id="0">
    <w:p w14:paraId="03E0C1DF" w14:textId="77777777" w:rsidR="00C43F0B" w:rsidRDefault="00C43F0B" w:rsidP="00F66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436FE" w14:textId="47413055" w:rsidR="00F665F5" w:rsidRDefault="00A778AD" w:rsidP="000C2911">
    <w:pPr>
      <w:pStyle w:val="Heading1"/>
      <w:jc w:val="both"/>
    </w:pPr>
    <w:r>
      <w:rPr>
        <w:noProof/>
      </w:rPr>
      <w:drawing>
        <wp:anchor distT="0" distB="0" distL="114300" distR="114300" simplePos="0" relativeHeight="251725824" behindDoc="0" locked="0" layoutInCell="1" allowOverlap="1" wp14:anchorId="763FB8CD" wp14:editId="7416B980">
          <wp:simplePos x="0" y="0"/>
          <wp:positionH relativeFrom="column">
            <wp:posOffset>4363297</wp:posOffset>
          </wp:positionH>
          <wp:positionV relativeFrom="paragraph">
            <wp:posOffset>-182880</wp:posOffset>
          </wp:positionV>
          <wp:extent cx="1976095" cy="1044000"/>
          <wp:effectExtent l="0" t="0" r="571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silium Advice Final Logo 7th July 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6095" cy="1044000"/>
                  </a:xfrm>
                  <a:prstGeom prst="rect">
                    <a:avLst/>
                  </a:prstGeom>
                </pic:spPr>
              </pic:pic>
            </a:graphicData>
          </a:graphic>
          <wp14:sizeRelH relativeFrom="margin">
            <wp14:pctWidth>0</wp14:pctWidth>
          </wp14:sizeRelH>
          <wp14:sizeRelV relativeFrom="margin">
            <wp14:pctHeight>0</wp14:pctHeight>
          </wp14:sizeRelV>
        </wp:anchor>
      </w:drawing>
    </w:r>
    <w:r w:rsidR="000C2911">
      <w:rPr>
        <w:noProof/>
      </w:rPr>
      <mc:AlternateContent>
        <mc:Choice Requires="wps">
          <w:drawing>
            <wp:anchor distT="0" distB="0" distL="114300" distR="114300" simplePos="0" relativeHeight="251709440" behindDoc="0" locked="0" layoutInCell="0" allowOverlap="1" wp14:anchorId="38F03705" wp14:editId="33CE2D0C">
              <wp:simplePos x="0" y="0"/>
              <wp:positionH relativeFrom="margin">
                <wp:posOffset>-202777</wp:posOffset>
              </wp:positionH>
              <wp:positionV relativeFrom="topMargin">
                <wp:posOffset>631401</wp:posOffset>
              </wp:positionV>
              <wp:extent cx="4148666" cy="276225"/>
              <wp:effectExtent l="0" t="0" r="0" b="952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8666"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83AF7" w14:textId="2862CDF2" w:rsidR="00F13F22" w:rsidRPr="00F13F22" w:rsidRDefault="00C43F0B" w:rsidP="000C2911">
                          <w:pPr>
                            <w:pStyle w:val="Heading1"/>
                            <w:spacing w:before="0" w:after="0"/>
                            <w:jc w:val="left"/>
                            <w:rPr>
                              <w:sz w:val="36"/>
                              <w:szCs w:val="36"/>
                            </w:rPr>
                          </w:pPr>
                          <w:sdt>
                            <w:sdtPr>
                              <w:rPr>
                                <w:b w:val="0"/>
                                <w:bCs w:val="0"/>
                              </w:r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r w:rsidR="00F13F22" w:rsidRPr="008263A2">
                                <w:rPr>
                                  <w:b w:val="0"/>
                                  <w:bCs w:val="0"/>
                                </w:rPr>
                                <w:t>Financial Services Guide</w:t>
                              </w:r>
                            </w:sdtContent>
                          </w:sdt>
                          <w:r w:rsidR="00DB7A36" w:rsidRPr="008263A2">
                            <w:rPr>
                              <w:b w:val="0"/>
                              <w:bCs w:val="0"/>
                            </w:rPr>
                            <w:t xml:space="preserve"> – General Advic</w:t>
                          </w:r>
                          <w:r w:rsidR="00DB7A36">
                            <w:t>e Only</w:t>
                          </w:r>
                        </w:p>
                      </w:txbxContent>
                    </wps:txbx>
                    <wps:bodyPr rot="0" vert="horz" wrap="square" lIns="91440" tIns="0" rIns="91440" bIns="0" anchor="b" anchorCtr="0" upright="1">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38F03705" id="_x0000_t202" coordsize="21600,21600" o:spt="202" path="m,l,21600r21600,l21600,xe">
              <v:stroke joinstyle="miter"/>
              <v:path gradientshapeok="t" o:connecttype="rect"/>
            </v:shapetype>
            <v:shape id="Text Box 218" o:spid="_x0000_s1027" type="#_x0000_t202" style="position:absolute;left:0;text-align:left;margin-left:-15.95pt;margin-top:49.7pt;width:326.65pt;height:21.7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" o:allowincell="f" filled="f" stroked="f">
              <v:textbox inset=",0,,0">
                <w:txbxContent>
                  <w:p w14:paraId="59E83AF7" w14:textId="2862CDF2" w:rsidR="00F13F22" w:rsidRPr="00F13F22" w:rsidRDefault="00000000" w:rsidP="000C2911">
                    <w:pPr>
                      <w:pStyle w:val="Heading1"/>
                      <w:spacing w:before="0" w:after="0"/>
                      <w:jc w:val="left"/>
                      <w:rPr>
                        <w:sz w:val="36"/>
                        <w:szCs w:val="36"/>
                      </w:rPr>
                    </w:pPr>
                    <w:sdt>
                      <w:sdtPr>
                        <w:rPr>
                          <w:b w:val="0"/>
                          <w:bCs w:val="0"/>
                        </w:rPr>
                        <w:alias w:val="Title"/>
                        <w:id w:val="78679243"/>
                        <w:dataBinding w:prefixMappings="xmlns:ns0='http://schemas.openxmlformats.org/package/2006/metadata/core-properties' xmlns:ns1='http://purl.org/dc/elements/1.1/'" w:xpath="/ns0:coreProperties[1]/ns1:title[1]" w:storeItemID="{6C3C8BC8-F283-45AE-878A-BAB7291924A1}"/>
                        <w:text/>
                      </w:sdtPr>
                      <w:sdtContent>
                        <w:r w:rsidR="00F13F22" w:rsidRPr="008263A2">
                          <w:rPr>
                            <w:b w:val="0"/>
                            <w:bCs w:val="0"/>
                          </w:rPr>
                          <w:t>Financial Services Guide</w:t>
                        </w:r>
                      </w:sdtContent>
                    </w:sdt>
                    <w:r w:rsidR="00DB7A36" w:rsidRPr="008263A2">
                      <w:rPr>
                        <w:b w:val="0"/>
                        <w:bCs w:val="0"/>
                      </w:rPr>
                      <w:t xml:space="preserve"> – General Advic</w:t>
                    </w:r>
                    <w:r w:rsidR="00DB7A36">
                      <w:t>e Only</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28CB0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10E016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E94"/>
    <w:rsid w:val="000215DC"/>
    <w:rsid w:val="000315FB"/>
    <w:rsid w:val="00042FD6"/>
    <w:rsid w:val="00064A67"/>
    <w:rsid w:val="0007747C"/>
    <w:rsid w:val="00092136"/>
    <w:rsid w:val="00097E2E"/>
    <w:rsid w:val="000A0BAB"/>
    <w:rsid w:val="000A72EC"/>
    <w:rsid w:val="000C2911"/>
    <w:rsid w:val="000C4516"/>
    <w:rsid w:val="00124620"/>
    <w:rsid w:val="00136619"/>
    <w:rsid w:val="00136945"/>
    <w:rsid w:val="00143052"/>
    <w:rsid w:val="001606D4"/>
    <w:rsid w:val="00174230"/>
    <w:rsid w:val="00181F57"/>
    <w:rsid w:val="00195F18"/>
    <w:rsid w:val="001A17D3"/>
    <w:rsid w:val="001D2C51"/>
    <w:rsid w:val="001D4BB8"/>
    <w:rsid w:val="002058EE"/>
    <w:rsid w:val="002076FB"/>
    <w:rsid w:val="00253C01"/>
    <w:rsid w:val="002A2A76"/>
    <w:rsid w:val="002E6796"/>
    <w:rsid w:val="00316276"/>
    <w:rsid w:val="00351CAF"/>
    <w:rsid w:val="003531C2"/>
    <w:rsid w:val="00397235"/>
    <w:rsid w:val="003A408A"/>
    <w:rsid w:val="004128D3"/>
    <w:rsid w:val="0042454E"/>
    <w:rsid w:val="0047414E"/>
    <w:rsid w:val="00477E3A"/>
    <w:rsid w:val="004867C5"/>
    <w:rsid w:val="00486BB6"/>
    <w:rsid w:val="004B66C2"/>
    <w:rsid w:val="004C2C79"/>
    <w:rsid w:val="004D0F12"/>
    <w:rsid w:val="004E10DE"/>
    <w:rsid w:val="004F6125"/>
    <w:rsid w:val="005049F9"/>
    <w:rsid w:val="005347D6"/>
    <w:rsid w:val="00537228"/>
    <w:rsid w:val="00547CFC"/>
    <w:rsid w:val="00565AD7"/>
    <w:rsid w:val="00566C6C"/>
    <w:rsid w:val="00585813"/>
    <w:rsid w:val="005A2A89"/>
    <w:rsid w:val="005B03C7"/>
    <w:rsid w:val="005B61C3"/>
    <w:rsid w:val="005C4F68"/>
    <w:rsid w:val="005D2522"/>
    <w:rsid w:val="005F00AB"/>
    <w:rsid w:val="00604A92"/>
    <w:rsid w:val="00613439"/>
    <w:rsid w:val="006253CA"/>
    <w:rsid w:val="00634C8B"/>
    <w:rsid w:val="00645D3E"/>
    <w:rsid w:val="00661392"/>
    <w:rsid w:val="00667633"/>
    <w:rsid w:val="00694F93"/>
    <w:rsid w:val="006B6127"/>
    <w:rsid w:val="006C4146"/>
    <w:rsid w:val="006E3585"/>
    <w:rsid w:val="006F6398"/>
    <w:rsid w:val="006F715E"/>
    <w:rsid w:val="00743EAD"/>
    <w:rsid w:val="007465FE"/>
    <w:rsid w:val="007679F7"/>
    <w:rsid w:val="007D0AAE"/>
    <w:rsid w:val="007E7F0F"/>
    <w:rsid w:val="00802F0B"/>
    <w:rsid w:val="008176B2"/>
    <w:rsid w:val="008263A2"/>
    <w:rsid w:val="0083006E"/>
    <w:rsid w:val="00842535"/>
    <w:rsid w:val="0085661C"/>
    <w:rsid w:val="00864672"/>
    <w:rsid w:val="008702C2"/>
    <w:rsid w:val="00892E94"/>
    <w:rsid w:val="008B6760"/>
    <w:rsid w:val="008C7E19"/>
    <w:rsid w:val="008D1E79"/>
    <w:rsid w:val="008E0827"/>
    <w:rsid w:val="0090423C"/>
    <w:rsid w:val="009166C9"/>
    <w:rsid w:val="00941FF0"/>
    <w:rsid w:val="00943043"/>
    <w:rsid w:val="0095651B"/>
    <w:rsid w:val="00957892"/>
    <w:rsid w:val="0096071E"/>
    <w:rsid w:val="00963474"/>
    <w:rsid w:val="00977F81"/>
    <w:rsid w:val="009854DF"/>
    <w:rsid w:val="009931F4"/>
    <w:rsid w:val="009937BD"/>
    <w:rsid w:val="009F0915"/>
    <w:rsid w:val="00A17BCA"/>
    <w:rsid w:val="00A20BD6"/>
    <w:rsid w:val="00A2182D"/>
    <w:rsid w:val="00A2503D"/>
    <w:rsid w:val="00A36800"/>
    <w:rsid w:val="00A47D11"/>
    <w:rsid w:val="00A5472F"/>
    <w:rsid w:val="00A778AD"/>
    <w:rsid w:val="00A937D0"/>
    <w:rsid w:val="00AA577C"/>
    <w:rsid w:val="00AB053C"/>
    <w:rsid w:val="00AE354E"/>
    <w:rsid w:val="00AF26D8"/>
    <w:rsid w:val="00B03AC3"/>
    <w:rsid w:val="00B116CE"/>
    <w:rsid w:val="00B36DB6"/>
    <w:rsid w:val="00B41B43"/>
    <w:rsid w:val="00BA6093"/>
    <w:rsid w:val="00BB21EF"/>
    <w:rsid w:val="00BB28D6"/>
    <w:rsid w:val="00BB42A8"/>
    <w:rsid w:val="00BE4325"/>
    <w:rsid w:val="00BF17CA"/>
    <w:rsid w:val="00C02A5A"/>
    <w:rsid w:val="00C07149"/>
    <w:rsid w:val="00C23494"/>
    <w:rsid w:val="00C341F2"/>
    <w:rsid w:val="00C43F0B"/>
    <w:rsid w:val="00C52E66"/>
    <w:rsid w:val="00C55A3D"/>
    <w:rsid w:val="00C635CD"/>
    <w:rsid w:val="00C743EC"/>
    <w:rsid w:val="00C829F8"/>
    <w:rsid w:val="00CA0AA2"/>
    <w:rsid w:val="00CC6DE6"/>
    <w:rsid w:val="00CE0E7B"/>
    <w:rsid w:val="00D048BA"/>
    <w:rsid w:val="00D57E15"/>
    <w:rsid w:val="00D61C79"/>
    <w:rsid w:val="00D67475"/>
    <w:rsid w:val="00D70D8F"/>
    <w:rsid w:val="00D879BB"/>
    <w:rsid w:val="00D9582E"/>
    <w:rsid w:val="00D9784C"/>
    <w:rsid w:val="00DB7A36"/>
    <w:rsid w:val="00DF490E"/>
    <w:rsid w:val="00E10B10"/>
    <w:rsid w:val="00E12635"/>
    <w:rsid w:val="00E34D80"/>
    <w:rsid w:val="00E42ACB"/>
    <w:rsid w:val="00E64CAC"/>
    <w:rsid w:val="00EA7CCE"/>
    <w:rsid w:val="00EB01CE"/>
    <w:rsid w:val="00EF38C5"/>
    <w:rsid w:val="00F01723"/>
    <w:rsid w:val="00F02704"/>
    <w:rsid w:val="00F13F22"/>
    <w:rsid w:val="00F2208D"/>
    <w:rsid w:val="00F34EDE"/>
    <w:rsid w:val="00F613C0"/>
    <w:rsid w:val="00F62B1E"/>
    <w:rsid w:val="00F665F5"/>
    <w:rsid w:val="00F92456"/>
    <w:rsid w:val="00FA3C27"/>
    <w:rsid w:val="00FA6E65"/>
    <w:rsid w:val="00FC5CD9"/>
    <w:rsid w:val="00FD34A0"/>
    <w:rsid w:val="00FD57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79A2E"/>
  <w15:chartTrackingRefBased/>
  <w15:docId w15:val="{96E2D3C7-617C-4D0C-9F49-85CD79AB2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3474"/>
    <w:pPr>
      <w:spacing w:after="80"/>
    </w:pPr>
    <w:rPr>
      <w:sz w:val="20"/>
    </w:rPr>
  </w:style>
  <w:style w:type="paragraph" w:styleId="Heading1">
    <w:name w:val="heading 1"/>
    <w:basedOn w:val="Normal"/>
    <w:next w:val="Normal"/>
    <w:link w:val="Heading1Char"/>
    <w:uiPriority w:val="9"/>
    <w:qFormat/>
    <w:rsid w:val="00DB7A36"/>
    <w:pPr>
      <w:keepNext/>
      <w:keepLines/>
      <w:spacing w:before="120" w:after="40"/>
      <w:jc w:val="center"/>
      <w:outlineLvl w:val="0"/>
    </w:pPr>
    <w:rPr>
      <w:rFonts w:ascii="Franklin Gothic Demi" w:eastAsiaTheme="majorEastAsia" w:hAnsi="Franklin Gothic Demi" w:cstheme="majorBidi"/>
      <w:b/>
      <w:bCs/>
      <w:spacing w:val="4"/>
      <w:sz w:val="28"/>
      <w:szCs w:val="28"/>
    </w:rPr>
  </w:style>
  <w:style w:type="paragraph" w:styleId="Heading2">
    <w:name w:val="heading 2"/>
    <w:basedOn w:val="Normal"/>
    <w:next w:val="Normal"/>
    <w:link w:val="Heading2Char"/>
    <w:uiPriority w:val="9"/>
    <w:unhideWhenUsed/>
    <w:qFormat/>
    <w:rsid w:val="00BA6093"/>
    <w:pPr>
      <w:keepNext/>
      <w:keepLines/>
      <w:spacing w:before="120" w:after="20"/>
      <w:outlineLvl w:val="1"/>
    </w:pPr>
    <w:rPr>
      <w:rFonts w:ascii="Franklin Gothic Demi" w:eastAsiaTheme="majorEastAsia" w:hAnsi="Franklin Gothic Demi" w:cstheme="majorBidi"/>
      <w:bCs/>
      <w:sz w:val="22"/>
      <w:szCs w:val="28"/>
    </w:rPr>
  </w:style>
  <w:style w:type="paragraph" w:styleId="Heading3">
    <w:name w:val="heading 3"/>
    <w:basedOn w:val="Normal"/>
    <w:next w:val="Normal"/>
    <w:link w:val="Heading3Char"/>
    <w:uiPriority w:val="9"/>
    <w:unhideWhenUsed/>
    <w:qFormat/>
    <w:rsid w:val="004F6125"/>
    <w:pPr>
      <w:keepNext/>
      <w:keepLines/>
      <w:spacing w:before="120" w:after="0" w:line="240" w:lineRule="auto"/>
      <w:outlineLvl w:val="2"/>
    </w:pPr>
    <w:rPr>
      <w:rFonts w:ascii="Franklin Gothic Demi" w:eastAsiaTheme="majorEastAsia" w:hAnsi="Franklin Gothic Demi" w:cstheme="majorBidi"/>
      <w:sz w:val="24"/>
      <w:szCs w:val="24"/>
    </w:rPr>
  </w:style>
  <w:style w:type="paragraph" w:styleId="Heading4">
    <w:name w:val="heading 4"/>
    <w:basedOn w:val="Normal"/>
    <w:next w:val="Normal"/>
    <w:link w:val="Heading4Char"/>
    <w:uiPriority w:val="9"/>
    <w:semiHidden/>
    <w:unhideWhenUsed/>
    <w:qFormat/>
    <w:rsid w:val="00C52E66"/>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C52E66"/>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C52E66"/>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C52E66"/>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C52E66"/>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C52E66"/>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6093"/>
    <w:rPr>
      <w:rFonts w:ascii="Franklin Gothic Demi" w:eastAsiaTheme="majorEastAsia" w:hAnsi="Franklin Gothic Demi" w:cstheme="majorBidi"/>
      <w:bCs/>
      <w:szCs w:val="28"/>
    </w:rPr>
  </w:style>
  <w:style w:type="character" w:customStyle="1" w:styleId="Heading1Char">
    <w:name w:val="Heading 1 Char"/>
    <w:basedOn w:val="DefaultParagraphFont"/>
    <w:link w:val="Heading1"/>
    <w:uiPriority w:val="9"/>
    <w:rsid w:val="00DB7A36"/>
    <w:rPr>
      <w:rFonts w:ascii="Franklin Gothic Demi" w:eastAsiaTheme="majorEastAsia" w:hAnsi="Franklin Gothic Demi" w:cstheme="majorBidi"/>
      <w:b/>
      <w:bCs/>
      <w:spacing w:val="4"/>
      <w:sz w:val="28"/>
      <w:szCs w:val="28"/>
    </w:rPr>
  </w:style>
  <w:style w:type="character" w:customStyle="1" w:styleId="Heading3Char">
    <w:name w:val="Heading 3 Char"/>
    <w:basedOn w:val="DefaultParagraphFont"/>
    <w:link w:val="Heading3"/>
    <w:uiPriority w:val="9"/>
    <w:rsid w:val="004F6125"/>
    <w:rPr>
      <w:rFonts w:ascii="Franklin Gothic Demi" w:eastAsiaTheme="majorEastAsia" w:hAnsi="Franklin Gothic Demi" w:cstheme="majorBidi"/>
      <w:sz w:val="24"/>
      <w:szCs w:val="24"/>
    </w:rPr>
  </w:style>
  <w:style w:type="character" w:customStyle="1" w:styleId="Heading4Char">
    <w:name w:val="Heading 4 Char"/>
    <w:basedOn w:val="DefaultParagraphFont"/>
    <w:link w:val="Heading4"/>
    <w:uiPriority w:val="9"/>
    <w:semiHidden/>
    <w:rsid w:val="00C52E66"/>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C52E66"/>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C52E66"/>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C52E66"/>
    <w:rPr>
      <w:i/>
      <w:iCs/>
    </w:rPr>
  </w:style>
  <w:style w:type="character" w:customStyle="1" w:styleId="Heading8Char">
    <w:name w:val="Heading 8 Char"/>
    <w:basedOn w:val="DefaultParagraphFont"/>
    <w:link w:val="Heading8"/>
    <w:uiPriority w:val="9"/>
    <w:semiHidden/>
    <w:rsid w:val="00C52E66"/>
    <w:rPr>
      <w:b/>
      <w:bCs/>
    </w:rPr>
  </w:style>
  <w:style w:type="character" w:customStyle="1" w:styleId="Heading9Char">
    <w:name w:val="Heading 9 Char"/>
    <w:basedOn w:val="DefaultParagraphFont"/>
    <w:link w:val="Heading9"/>
    <w:uiPriority w:val="9"/>
    <w:semiHidden/>
    <w:rsid w:val="00C52E66"/>
    <w:rPr>
      <w:i/>
      <w:iCs/>
    </w:rPr>
  </w:style>
  <w:style w:type="paragraph" w:styleId="Caption">
    <w:name w:val="caption"/>
    <w:basedOn w:val="Normal"/>
    <w:next w:val="Normal"/>
    <w:uiPriority w:val="35"/>
    <w:semiHidden/>
    <w:unhideWhenUsed/>
    <w:qFormat/>
    <w:rsid w:val="00C52E66"/>
    <w:rPr>
      <w:b/>
      <w:bCs/>
      <w:sz w:val="18"/>
      <w:szCs w:val="18"/>
    </w:rPr>
  </w:style>
  <w:style w:type="paragraph" w:styleId="Title">
    <w:name w:val="Title"/>
    <w:basedOn w:val="Normal"/>
    <w:next w:val="Normal"/>
    <w:link w:val="TitleChar"/>
    <w:uiPriority w:val="10"/>
    <w:qFormat/>
    <w:rsid w:val="00C52E6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C52E66"/>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C52E66"/>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52E66"/>
    <w:rPr>
      <w:rFonts w:asciiTheme="majorHAnsi" w:eastAsiaTheme="majorEastAsia" w:hAnsiTheme="majorHAnsi" w:cstheme="majorBidi"/>
      <w:sz w:val="24"/>
      <w:szCs w:val="24"/>
    </w:rPr>
  </w:style>
  <w:style w:type="character" w:styleId="Strong">
    <w:name w:val="Strong"/>
    <w:basedOn w:val="DefaultParagraphFont"/>
    <w:uiPriority w:val="22"/>
    <w:qFormat/>
    <w:rsid w:val="00C52E66"/>
    <w:rPr>
      <w:b/>
      <w:bCs/>
      <w:color w:val="auto"/>
    </w:rPr>
  </w:style>
  <w:style w:type="character" w:styleId="Emphasis">
    <w:name w:val="Emphasis"/>
    <w:basedOn w:val="DefaultParagraphFont"/>
    <w:uiPriority w:val="20"/>
    <w:qFormat/>
    <w:rsid w:val="00C52E66"/>
    <w:rPr>
      <w:i/>
      <w:iCs/>
      <w:color w:val="auto"/>
    </w:rPr>
  </w:style>
  <w:style w:type="paragraph" w:styleId="NoSpacing">
    <w:name w:val="No Spacing"/>
    <w:uiPriority w:val="1"/>
    <w:qFormat/>
    <w:rsid w:val="00C52E66"/>
    <w:pPr>
      <w:spacing w:after="0" w:line="240" w:lineRule="auto"/>
    </w:pPr>
  </w:style>
  <w:style w:type="paragraph" w:styleId="ListParagraph">
    <w:name w:val="List Paragraph"/>
    <w:basedOn w:val="Normal"/>
    <w:uiPriority w:val="34"/>
    <w:qFormat/>
    <w:rsid w:val="00C52E66"/>
    <w:pPr>
      <w:ind w:left="720"/>
      <w:contextualSpacing/>
    </w:pPr>
  </w:style>
  <w:style w:type="paragraph" w:styleId="Quote">
    <w:name w:val="Quote"/>
    <w:basedOn w:val="Normal"/>
    <w:next w:val="Normal"/>
    <w:link w:val="QuoteChar"/>
    <w:uiPriority w:val="29"/>
    <w:qFormat/>
    <w:rsid w:val="00C52E6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C52E66"/>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C52E6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C52E66"/>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C52E66"/>
    <w:rPr>
      <w:i/>
      <w:iCs/>
      <w:color w:val="auto"/>
    </w:rPr>
  </w:style>
  <w:style w:type="character" w:styleId="IntenseEmphasis">
    <w:name w:val="Intense Emphasis"/>
    <w:basedOn w:val="DefaultParagraphFont"/>
    <w:uiPriority w:val="21"/>
    <w:qFormat/>
    <w:rsid w:val="00C52E66"/>
    <w:rPr>
      <w:b/>
      <w:bCs/>
      <w:i/>
      <w:iCs/>
      <w:color w:val="auto"/>
    </w:rPr>
  </w:style>
  <w:style w:type="character" w:styleId="SubtleReference">
    <w:name w:val="Subtle Reference"/>
    <w:basedOn w:val="DefaultParagraphFont"/>
    <w:uiPriority w:val="31"/>
    <w:qFormat/>
    <w:rsid w:val="00C52E66"/>
    <w:rPr>
      <w:smallCaps/>
      <w:color w:val="auto"/>
      <w:u w:val="single" w:color="7F7F7F" w:themeColor="text1" w:themeTint="80"/>
    </w:rPr>
  </w:style>
  <w:style w:type="character" w:styleId="IntenseReference">
    <w:name w:val="Intense Reference"/>
    <w:basedOn w:val="DefaultParagraphFont"/>
    <w:uiPriority w:val="32"/>
    <w:qFormat/>
    <w:rsid w:val="00C52E66"/>
    <w:rPr>
      <w:b/>
      <w:bCs/>
      <w:smallCaps/>
      <w:color w:val="auto"/>
      <w:u w:val="single"/>
    </w:rPr>
  </w:style>
  <w:style w:type="character" w:styleId="BookTitle">
    <w:name w:val="Book Title"/>
    <w:basedOn w:val="DefaultParagraphFont"/>
    <w:uiPriority w:val="33"/>
    <w:qFormat/>
    <w:rsid w:val="00C52E66"/>
    <w:rPr>
      <w:b/>
      <w:bCs/>
      <w:smallCaps/>
      <w:color w:val="auto"/>
    </w:rPr>
  </w:style>
  <w:style w:type="paragraph" w:styleId="TOCHeading">
    <w:name w:val="TOC Heading"/>
    <w:basedOn w:val="Heading1"/>
    <w:next w:val="Normal"/>
    <w:uiPriority w:val="39"/>
    <w:semiHidden/>
    <w:unhideWhenUsed/>
    <w:qFormat/>
    <w:rsid w:val="00C52E66"/>
    <w:pPr>
      <w:outlineLvl w:val="9"/>
    </w:pPr>
  </w:style>
  <w:style w:type="table" w:styleId="TableGrid">
    <w:name w:val="Table Grid"/>
    <w:basedOn w:val="TableNormal"/>
    <w:uiPriority w:val="39"/>
    <w:rsid w:val="00892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6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5F5"/>
  </w:style>
  <w:style w:type="paragraph" w:styleId="Footer">
    <w:name w:val="footer"/>
    <w:basedOn w:val="Normal"/>
    <w:link w:val="FooterChar"/>
    <w:uiPriority w:val="99"/>
    <w:unhideWhenUsed/>
    <w:rsid w:val="00F66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5F5"/>
  </w:style>
  <w:style w:type="character" w:styleId="Hyperlink">
    <w:name w:val="Hyperlink"/>
    <w:basedOn w:val="DefaultParagraphFont"/>
    <w:uiPriority w:val="99"/>
    <w:unhideWhenUsed/>
    <w:rsid w:val="00D57E15"/>
    <w:rPr>
      <w:color w:val="5F5F5F" w:themeColor="hyperlink"/>
      <w:u w:val="single"/>
    </w:rPr>
  </w:style>
  <w:style w:type="character" w:styleId="UnresolvedMention">
    <w:name w:val="Unresolved Mention"/>
    <w:basedOn w:val="DefaultParagraphFont"/>
    <w:uiPriority w:val="99"/>
    <w:semiHidden/>
    <w:unhideWhenUsed/>
    <w:rsid w:val="007679F7"/>
    <w:rPr>
      <w:color w:val="605E5C"/>
      <w:shd w:val="clear" w:color="auto" w:fill="E1DFDD"/>
    </w:rPr>
  </w:style>
  <w:style w:type="character" w:styleId="FollowedHyperlink">
    <w:name w:val="FollowedHyperlink"/>
    <w:basedOn w:val="DefaultParagraphFont"/>
    <w:uiPriority w:val="99"/>
    <w:semiHidden/>
    <w:unhideWhenUsed/>
    <w:rsid w:val="00136945"/>
    <w:rPr>
      <w:color w:val="919191" w:themeColor="followedHyperlink"/>
      <w:u w:val="single"/>
    </w:rPr>
  </w:style>
  <w:style w:type="character" w:styleId="PageNumber">
    <w:name w:val="page number"/>
    <w:basedOn w:val="DefaultParagraphFont"/>
    <w:uiPriority w:val="99"/>
    <w:unhideWhenUsed/>
    <w:rsid w:val="00C55A3D"/>
  </w:style>
  <w:style w:type="paragraph" w:styleId="ListBullet">
    <w:name w:val="List Bullet"/>
    <w:basedOn w:val="Normal"/>
    <w:uiPriority w:val="99"/>
    <w:unhideWhenUsed/>
    <w:rsid w:val="00F62B1E"/>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fca.org.au"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onsiliumadvice.com.au" TargetMode="External"/><Relationship Id="rId1" Type="http://schemas.openxmlformats.org/officeDocument/2006/relationships/hyperlink" Target="mailto:admin@consiliumadvice.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455EE-6CB9-4535-9444-FA347B32A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Financial Services Guide</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Services Guide</dc:title>
  <dc:subject/>
  <dc:creator>Peter Colnan</dc:creator>
  <cp:keywords/>
  <dc:description/>
  <cp:lastModifiedBy>gf</cp:lastModifiedBy>
  <cp:revision>2</cp:revision>
  <dcterms:created xsi:type="dcterms:W3CDTF">2024-02-07T04:31:00Z</dcterms:created>
  <dcterms:modified xsi:type="dcterms:W3CDTF">2024-02-07T04:31:00Z</dcterms:modified>
</cp:coreProperties>
</file>